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17" w:rsidRDefault="000C01B2" w:rsidP="000C01B2">
      <w:pPr>
        <w:pStyle w:val="Titre1"/>
      </w:pPr>
      <w:r>
        <w:t xml:space="preserve">RFE model </w:t>
      </w:r>
      <w:proofErr w:type="spellStart"/>
      <w:r>
        <w:t>results</w:t>
      </w:r>
      <w:proofErr w:type="spellEnd"/>
      <w:r>
        <w:t>.</w:t>
      </w:r>
    </w:p>
    <w:p w:rsidR="000C01B2" w:rsidRDefault="000C01B2"/>
    <w:p w:rsidR="000C01B2" w:rsidRDefault="000C01B2" w:rsidP="000C01B2">
      <w:pPr>
        <w:pStyle w:val="Titre2"/>
        <w:rPr>
          <w:lang w:val="en-US"/>
        </w:rPr>
      </w:pPr>
      <w:r w:rsidRPr="000C01B2">
        <w:rPr>
          <w:lang w:val="en-US"/>
        </w:rPr>
        <w:t xml:space="preserve">Choice of number of </w:t>
      </w:r>
      <w:r>
        <w:rPr>
          <w:lang w:val="en-US"/>
        </w:rPr>
        <w:t xml:space="preserve">relevant </w:t>
      </w:r>
      <w:r w:rsidRPr="000C01B2">
        <w:rPr>
          <w:lang w:val="en-US"/>
        </w:rPr>
        <w:t>features </w:t>
      </w:r>
      <w:r>
        <w:rPr>
          <w:lang w:val="en-US"/>
        </w:rPr>
        <w:t>and model training</w:t>
      </w:r>
      <w:r w:rsidRPr="000C01B2">
        <w:rPr>
          <w:lang w:val="en-US"/>
        </w:rPr>
        <w:t xml:space="preserve">: </w:t>
      </w:r>
    </w:p>
    <w:p w:rsidR="000C01B2" w:rsidRPr="000C01B2" w:rsidRDefault="000C01B2" w:rsidP="000C01B2">
      <w:pPr>
        <w:pStyle w:val="Paragraphedeliste"/>
        <w:rPr>
          <w:lang w:val="en-US"/>
        </w:rPr>
      </w:pPr>
    </w:p>
    <w:p w:rsidR="000C01B2" w:rsidRDefault="000C01B2" w:rsidP="000C01B2">
      <w:pPr>
        <w:pStyle w:val="Corpsdetexte"/>
        <w:spacing w:line="480" w:lineRule="auto"/>
        <w:rPr>
          <w:rFonts w:cs="Arial"/>
          <w:lang w:val="en-GB"/>
        </w:rPr>
      </w:pPr>
      <w:r w:rsidRPr="00FC5388">
        <w:rPr>
          <w:rFonts w:cs="Arial"/>
          <w:lang w:val="en-GB"/>
        </w:rPr>
        <w:t xml:space="preserve">Results were as follows: the RFE showed, as expected, that using the full dataset gave the best prediction however, a smaller number of features did not tremendously decrease the estimated accuracy. In order to limit over-fitting, a maximum of 45 predictors </w:t>
      </w:r>
      <w:proofErr w:type="gramStart"/>
      <w:r w:rsidRPr="00FC5388">
        <w:rPr>
          <w:rFonts w:cs="Arial"/>
          <w:lang w:val="en-GB"/>
        </w:rPr>
        <w:t>were chosen</w:t>
      </w:r>
      <w:proofErr w:type="gramEnd"/>
      <w:r w:rsidRPr="00FC5388">
        <w:rPr>
          <w:rFonts w:cs="Arial"/>
          <w:lang w:val="en-GB"/>
        </w:rPr>
        <w:t xml:space="preserve"> (see </w:t>
      </w:r>
      <w:r w:rsidRPr="00FC5388">
        <w:rPr>
          <w:rFonts w:cs="Arial"/>
          <w:lang w:val="en-GB"/>
        </w:rPr>
        <w:fldChar w:fldCharType="begin"/>
      </w:r>
      <w:r w:rsidRPr="00FC5388">
        <w:rPr>
          <w:rFonts w:cs="Arial"/>
          <w:lang w:val="en-GB"/>
        </w:rPr>
        <w:instrText xml:space="preserve"> REF _Ref460250504 \h  \* MERGEFORMAT </w:instrText>
      </w:r>
      <w:r w:rsidRPr="00FC5388">
        <w:rPr>
          <w:rFonts w:cs="Arial"/>
          <w:lang w:val="en-GB"/>
        </w:rPr>
      </w:r>
      <w:r w:rsidRPr="00FC5388">
        <w:rPr>
          <w:rFonts w:cs="Arial"/>
          <w:lang w:val="en-GB"/>
        </w:rPr>
        <w:fldChar w:fldCharType="separate"/>
      </w:r>
      <w:r w:rsidRPr="00FC5388">
        <w:rPr>
          <w:rFonts w:cs="Arial"/>
          <w:lang w:val="en-GB"/>
        </w:rPr>
        <w:t xml:space="preserve">Table </w:t>
      </w:r>
      <w:r w:rsidRPr="00FC5388">
        <w:rPr>
          <w:rFonts w:cs="Arial"/>
          <w:noProof/>
          <w:lang w:val="en-GB"/>
        </w:rPr>
        <w:t>7</w:t>
      </w:r>
      <w:r w:rsidRPr="00FC5388">
        <w:rPr>
          <w:rFonts w:cs="Arial"/>
          <w:lang w:val="en-GB"/>
        </w:rPr>
        <w:fldChar w:fldCharType="end"/>
      </w:r>
      <w:r w:rsidRPr="00FC5388">
        <w:rPr>
          <w:rFonts w:cs="Arial"/>
          <w:lang w:val="en-GB"/>
        </w:rPr>
        <w:t xml:space="preserve"> for summary; full table available in the </w:t>
      </w:r>
      <w:r>
        <w:rPr>
          <w:rFonts w:cs="Arial"/>
          <w:lang w:val="en-GB"/>
        </w:rPr>
        <w:t>additional</w:t>
      </w:r>
      <w:r w:rsidRPr="00FC5388">
        <w:rPr>
          <w:rFonts w:cs="Arial"/>
          <w:lang w:val="en-GB"/>
        </w:rPr>
        <w:t xml:space="preserve"> file 6, with the list of 45 predictors selected).</w:t>
      </w:r>
    </w:p>
    <w:p w:rsidR="000C01B2" w:rsidRPr="00FC5388" w:rsidRDefault="000C01B2" w:rsidP="000C01B2">
      <w:pPr>
        <w:pStyle w:val="Lgende"/>
        <w:rPr>
          <w:lang w:val="en-GB"/>
        </w:rPr>
      </w:pPr>
      <w:r>
        <w:rPr>
          <w:lang w:val="en-GB"/>
        </w:rPr>
        <w:t>Table 7: Estimated accuracy and standard deviation of the RFE procedure.</w:t>
      </w:r>
    </w:p>
    <w:tbl>
      <w:tblPr>
        <w:tblStyle w:val="Grilledutableau"/>
        <w:tblW w:w="0" w:type="auto"/>
        <w:tblLook w:val="04A0" w:firstRow="1" w:lastRow="0" w:firstColumn="1" w:lastColumn="0" w:noHBand="0" w:noVBand="1"/>
      </w:tblPr>
      <w:tblGrid>
        <w:gridCol w:w="2349"/>
        <w:gridCol w:w="2349"/>
        <w:gridCol w:w="2349"/>
      </w:tblGrid>
      <w:tr w:rsidR="000C01B2" w:rsidRPr="00A46B6A" w:rsidTr="00A468DC">
        <w:tc>
          <w:tcPr>
            <w:tcW w:w="2349" w:type="dxa"/>
          </w:tcPr>
          <w:p w:rsidR="000C01B2" w:rsidRPr="00A46B6A" w:rsidRDefault="000C01B2" w:rsidP="00A468DC">
            <w:pPr>
              <w:pStyle w:val="Corpsdetexte"/>
              <w:spacing w:line="480" w:lineRule="auto"/>
              <w:rPr>
                <w:rFonts w:cs="Arial"/>
                <w:sz w:val="20"/>
                <w:lang w:val="en-GB"/>
              </w:rPr>
            </w:pPr>
            <w:r w:rsidRPr="00A46B6A">
              <w:rPr>
                <w:rFonts w:cs="Arial"/>
                <w:sz w:val="20"/>
                <w:lang w:val="en-GB"/>
              </w:rPr>
              <w:t>Number of variables</w:t>
            </w:r>
          </w:p>
        </w:tc>
        <w:tc>
          <w:tcPr>
            <w:tcW w:w="2349" w:type="dxa"/>
            <w:vAlign w:val="center"/>
          </w:tcPr>
          <w:p w:rsidR="000C01B2" w:rsidRPr="00A46B6A" w:rsidRDefault="000C01B2" w:rsidP="00A468DC">
            <w:pPr>
              <w:pStyle w:val="Corpsdetexte"/>
              <w:spacing w:line="480" w:lineRule="auto"/>
              <w:jc w:val="center"/>
              <w:rPr>
                <w:rFonts w:cs="Arial"/>
                <w:sz w:val="20"/>
                <w:lang w:val="en-GB"/>
              </w:rPr>
            </w:pPr>
            <w:r w:rsidRPr="00A46B6A">
              <w:rPr>
                <w:rFonts w:cs="Arial"/>
                <w:sz w:val="20"/>
                <w:lang w:val="en-GB"/>
              </w:rPr>
              <w:t>Global accuracy</w:t>
            </w:r>
          </w:p>
        </w:tc>
        <w:tc>
          <w:tcPr>
            <w:tcW w:w="2349" w:type="dxa"/>
            <w:vAlign w:val="center"/>
          </w:tcPr>
          <w:p w:rsidR="000C01B2" w:rsidRPr="00A46B6A" w:rsidRDefault="000C01B2" w:rsidP="00A468DC">
            <w:pPr>
              <w:pStyle w:val="Corpsdetexte"/>
              <w:spacing w:line="480" w:lineRule="auto"/>
              <w:jc w:val="center"/>
              <w:rPr>
                <w:rFonts w:cs="Arial"/>
                <w:sz w:val="20"/>
                <w:lang w:val="en-GB"/>
              </w:rPr>
            </w:pPr>
            <w:r w:rsidRPr="00A46B6A">
              <w:rPr>
                <w:rFonts w:cs="Arial"/>
                <w:sz w:val="20"/>
                <w:lang w:val="en-GB"/>
              </w:rPr>
              <w:t>Accuracy SD</w:t>
            </w:r>
          </w:p>
        </w:tc>
      </w:tr>
      <w:tr w:rsidR="000C01B2" w:rsidRPr="00A46B6A" w:rsidTr="00A468DC">
        <w:tc>
          <w:tcPr>
            <w:tcW w:w="2349" w:type="dxa"/>
          </w:tcPr>
          <w:p w:rsidR="000C01B2" w:rsidRPr="00A46B6A" w:rsidRDefault="000C01B2" w:rsidP="00A468DC">
            <w:pPr>
              <w:pStyle w:val="Corpsdetexte"/>
              <w:spacing w:line="480" w:lineRule="auto"/>
              <w:rPr>
                <w:rFonts w:cs="Arial"/>
                <w:sz w:val="20"/>
                <w:lang w:val="en-GB"/>
              </w:rPr>
            </w:pPr>
            <w:r w:rsidRPr="00A46B6A">
              <w:rPr>
                <w:rFonts w:cs="Arial"/>
                <w:sz w:val="20"/>
                <w:lang w:val="en-GB"/>
              </w:rPr>
              <w:t>45</w:t>
            </w:r>
          </w:p>
        </w:tc>
        <w:tc>
          <w:tcPr>
            <w:tcW w:w="2349" w:type="dxa"/>
            <w:vAlign w:val="center"/>
          </w:tcPr>
          <w:p w:rsidR="000C01B2" w:rsidRPr="00A46B6A" w:rsidRDefault="000C01B2" w:rsidP="00A468DC">
            <w:pPr>
              <w:pStyle w:val="Corpsdetexte"/>
              <w:spacing w:line="480" w:lineRule="auto"/>
              <w:jc w:val="center"/>
              <w:rPr>
                <w:rFonts w:cs="Arial"/>
                <w:sz w:val="20"/>
                <w:lang w:val="en-GB"/>
              </w:rPr>
            </w:pPr>
            <w:r w:rsidRPr="00A46B6A">
              <w:rPr>
                <w:rFonts w:cs="Arial"/>
                <w:sz w:val="20"/>
                <w:lang w:val="en-GB"/>
              </w:rPr>
              <w:t>0.4694</w:t>
            </w:r>
          </w:p>
        </w:tc>
        <w:tc>
          <w:tcPr>
            <w:tcW w:w="2349" w:type="dxa"/>
            <w:vAlign w:val="center"/>
          </w:tcPr>
          <w:p w:rsidR="000C01B2" w:rsidRPr="00A46B6A" w:rsidRDefault="000C01B2" w:rsidP="00A468DC">
            <w:pPr>
              <w:pStyle w:val="Corpsdetexte"/>
              <w:spacing w:line="480" w:lineRule="auto"/>
              <w:jc w:val="center"/>
              <w:rPr>
                <w:rFonts w:cs="Arial"/>
                <w:sz w:val="20"/>
                <w:lang w:val="en-GB"/>
              </w:rPr>
            </w:pPr>
            <w:r w:rsidRPr="00A46B6A">
              <w:rPr>
                <w:rFonts w:cs="Arial"/>
                <w:sz w:val="20"/>
                <w:lang w:val="en-GB"/>
              </w:rPr>
              <w:t>0.04871</w:t>
            </w:r>
          </w:p>
        </w:tc>
      </w:tr>
      <w:tr w:rsidR="000C01B2" w:rsidRPr="00A46B6A" w:rsidTr="00A468DC">
        <w:tc>
          <w:tcPr>
            <w:tcW w:w="2349" w:type="dxa"/>
          </w:tcPr>
          <w:p w:rsidR="000C01B2" w:rsidRPr="00A46B6A" w:rsidRDefault="000C01B2" w:rsidP="00A468DC">
            <w:pPr>
              <w:pStyle w:val="Corpsdetexte"/>
              <w:spacing w:line="480" w:lineRule="auto"/>
              <w:rPr>
                <w:rFonts w:cs="Arial"/>
                <w:sz w:val="20"/>
                <w:lang w:val="en-GB"/>
              </w:rPr>
            </w:pPr>
            <w:r w:rsidRPr="00A46B6A">
              <w:rPr>
                <w:rFonts w:cs="Arial"/>
                <w:sz w:val="20"/>
                <w:lang w:val="en-GB"/>
              </w:rPr>
              <w:t>6753</w:t>
            </w:r>
          </w:p>
        </w:tc>
        <w:tc>
          <w:tcPr>
            <w:tcW w:w="2349" w:type="dxa"/>
            <w:vAlign w:val="center"/>
          </w:tcPr>
          <w:p w:rsidR="000C01B2" w:rsidRPr="00A46B6A" w:rsidRDefault="000C01B2" w:rsidP="00A468DC">
            <w:pPr>
              <w:pStyle w:val="Corpsdetexte"/>
              <w:spacing w:line="480" w:lineRule="auto"/>
              <w:jc w:val="center"/>
              <w:rPr>
                <w:rFonts w:cs="Arial"/>
                <w:sz w:val="20"/>
                <w:lang w:val="en-GB"/>
              </w:rPr>
            </w:pPr>
            <w:r w:rsidRPr="00A46B6A">
              <w:rPr>
                <w:rFonts w:cs="Arial"/>
                <w:sz w:val="20"/>
                <w:lang w:val="en-GB"/>
              </w:rPr>
              <w:t>0.7500</w:t>
            </w:r>
          </w:p>
        </w:tc>
        <w:tc>
          <w:tcPr>
            <w:tcW w:w="2349" w:type="dxa"/>
            <w:vAlign w:val="center"/>
          </w:tcPr>
          <w:p w:rsidR="000C01B2" w:rsidRPr="00A46B6A" w:rsidRDefault="000C01B2" w:rsidP="00A468DC">
            <w:pPr>
              <w:pStyle w:val="Corpsdetexte"/>
              <w:spacing w:line="480" w:lineRule="auto"/>
              <w:jc w:val="center"/>
              <w:rPr>
                <w:rFonts w:cs="Arial"/>
                <w:sz w:val="20"/>
                <w:lang w:val="en-GB"/>
              </w:rPr>
            </w:pPr>
            <w:r w:rsidRPr="00A46B6A">
              <w:rPr>
                <w:rFonts w:cs="Arial"/>
                <w:sz w:val="20"/>
                <w:lang w:val="en-GB"/>
              </w:rPr>
              <w:t>0.04215</w:t>
            </w:r>
          </w:p>
        </w:tc>
      </w:tr>
    </w:tbl>
    <w:p w:rsidR="000C01B2" w:rsidRPr="00FC5388" w:rsidRDefault="000C01B2" w:rsidP="000C01B2">
      <w:pPr>
        <w:pStyle w:val="Lgende"/>
        <w:spacing w:line="480" w:lineRule="auto"/>
        <w:rPr>
          <w:rFonts w:cs="Arial"/>
          <w:lang w:val="en-GB"/>
        </w:rPr>
      </w:pPr>
      <w:r w:rsidRPr="00FC5388">
        <w:rPr>
          <w:rFonts w:cs="Arial"/>
          <w:lang w:val="en-GB"/>
        </w:rPr>
        <w:t xml:space="preserve"> </w:t>
      </w:r>
      <w:bookmarkStart w:id="0" w:name="_Ref460250504"/>
      <w:r w:rsidRPr="00FC5388">
        <w:rPr>
          <w:rFonts w:cs="Arial"/>
          <w:lang w:val="en-GB"/>
        </w:rPr>
        <w:t xml:space="preserve">Table </w:t>
      </w:r>
      <w:r w:rsidRPr="00FC5388">
        <w:rPr>
          <w:rFonts w:cs="Arial"/>
          <w:lang w:val="en-GB"/>
        </w:rPr>
        <w:fldChar w:fldCharType="begin"/>
      </w:r>
      <w:r w:rsidRPr="00FC5388">
        <w:rPr>
          <w:rFonts w:cs="Arial"/>
          <w:lang w:val="en-GB"/>
        </w:rPr>
        <w:instrText xml:space="preserve"> SEQ Table \* ARABIC </w:instrText>
      </w:r>
      <w:r w:rsidRPr="00FC5388">
        <w:rPr>
          <w:rFonts w:cs="Arial"/>
          <w:lang w:val="en-GB"/>
        </w:rPr>
        <w:fldChar w:fldCharType="separate"/>
      </w:r>
      <w:r w:rsidRPr="00FC5388">
        <w:rPr>
          <w:rFonts w:cs="Arial"/>
          <w:noProof/>
          <w:lang w:val="en-GB"/>
        </w:rPr>
        <w:t>7</w:t>
      </w:r>
      <w:r w:rsidRPr="00FC5388">
        <w:rPr>
          <w:rFonts w:cs="Arial"/>
          <w:lang w:val="en-GB"/>
        </w:rPr>
        <w:fldChar w:fldCharType="end"/>
      </w:r>
      <w:bookmarkEnd w:id="0"/>
      <w:r w:rsidRPr="00FC5388">
        <w:rPr>
          <w:rFonts w:cs="Arial"/>
          <w:lang w:val="en-GB"/>
        </w:rPr>
        <w:t xml:space="preserve">: Estimated accuracy with standard deviation across the resampling iterations of the RFE procedure. </w:t>
      </w:r>
      <w:r>
        <w:rPr>
          <w:rFonts w:cs="Arial"/>
          <w:lang w:val="en-GB"/>
        </w:rPr>
        <w:t xml:space="preserve">At each </w:t>
      </w:r>
      <w:proofErr w:type="gramStart"/>
      <w:r>
        <w:rPr>
          <w:rFonts w:cs="Arial"/>
          <w:lang w:val="en-GB"/>
        </w:rPr>
        <w:t>iteration</w:t>
      </w:r>
      <w:proofErr w:type="gramEnd"/>
      <w:r>
        <w:rPr>
          <w:rFonts w:cs="Arial"/>
          <w:lang w:val="en-GB"/>
        </w:rPr>
        <w:t xml:space="preserve"> a smaller number of features is selected and tested for predictive power against the real cluster associations provided to the algorithm. </w:t>
      </w:r>
    </w:p>
    <w:p w:rsidR="000C01B2" w:rsidRDefault="000C01B2" w:rsidP="000C01B2">
      <w:pPr>
        <w:pStyle w:val="Corpsdetexte"/>
        <w:spacing w:line="480" w:lineRule="auto"/>
        <w:rPr>
          <w:rFonts w:cs="Arial"/>
          <w:lang w:val="en-GB"/>
        </w:rPr>
      </w:pPr>
      <w:r w:rsidRPr="00FC5388">
        <w:rPr>
          <w:rFonts w:cs="Arial"/>
          <w:lang w:val="en-GB"/>
        </w:rPr>
        <w:t xml:space="preserve">The 45 predictors </w:t>
      </w:r>
      <w:proofErr w:type="gramStart"/>
      <w:r w:rsidRPr="00FC5388">
        <w:rPr>
          <w:rFonts w:cs="Arial"/>
          <w:lang w:val="en-GB"/>
        </w:rPr>
        <w:t>were then used</w:t>
      </w:r>
      <w:proofErr w:type="gramEnd"/>
      <w:r w:rsidRPr="00FC5388">
        <w:rPr>
          <w:rFonts w:cs="Arial"/>
          <w:lang w:val="en-GB"/>
        </w:rPr>
        <w:t xml:space="preserve"> to build a RF model in the training set (300 samples). Again, RF tries to build models by varying the number of predictors (between </w:t>
      </w:r>
      <w:proofErr w:type="gramStart"/>
      <w:r w:rsidRPr="00FC5388">
        <w:rPr>
          <w:rFonts w:cs="Arial"/>
          <w:lang w:val="en-GB"/>
        </w:rPr>
        <w:t>2</w:t>
      </w:r>
      <w:proofErr w:type="gramEnd"/>
      <w:r w:rsidRPr="00FC5388">
        <w:rPr>
          <w:rFonts w:cs="Arial"/>
          <w:lang w:val="en-GB"/>
        </w:rPr>
        <w:t xml:space="preserve"> and the number identified at the previous step) and the highest accuracy model was chosen (see </w:t>
      </w:r>
      <w:r w:rsidRPr="00FC5388">
        <w:rPr>
          <w:rFonts w:cs="Arial"/>
          <w:lang w:val="en-GB"/>
        </w:rPr>
        <w:fldChar w:fldCharType="begin"/>
      </w:r>
      <w:r w:rsidRPr="00FC5388">
        <w:rPr>
          <w:rFonts w:cs="Arial"/>
          <w:lang w:val="en-GB"/>
        </w:rPr>
        <w:instrText xml:space="preserve"> REF _Ref460250856 \h  \* MERGEFORMAT </w:instrText>
      </w:r>
      <w:r w:rsidRPr="00FC5388">
        <w:rPr>
          <w:rFonts w:cs="Arial"/>
          <w:lang w:val="en-GB"/>
        </w:rPr>
      </w:r>
      <w:r w:rsidRPr="00FC5388">
        <w:rPr>
          <w:rFonts w:cs="Arial"/>
          <w:lang w:val="en-GB"/>
        </w:rPr>
        <w:fldChar w:fldCharType="separate"/>
      </w:r>
      <w:r w:rsidRPr="00FC5388">
        <w:rPr>
          <w:rFonts w:cs="Arial"/>
          <w:lang w:val="en-GB"/>
        </w:rPr>
        <w:t xml:space="preserve">Table </w:t>
      </w:r>
      <w:r w:rsidRPr="00FC5388">
        <w:rPr>
          <w:rFonts w:cs="Arial"/>
          <w:noProof/>
          <w:lang w:val="en-GB"/>
        </w:rPr>
        <w:t>8</w:t>
      </w:r>
      <w:r w:rsidRPr="00FC5388">
        <w:rPr>
          <w:rFonts w:cs="Arial"/>
          <w:lang w:val="en-GB"/>
        </w:rPr>
        <w:fldChar w:fldCharType="end"/>
      </w:r>
      <w:r w:rsidRPr="00FC5388">
        <w:rPr>
          <w:rFonts w:cs="Arial"/>
          <w:lang w:val="en-GB"/>
        </w:rPr>
        <w:t>).</w:t>
      </w:r>
    </w:p>
    <w:p w:rsidR="000C01B2" w:rsidRPr="00FC5388" w:rsidRDefault="000C01B2" w:rsidP="000C01B2">
      <w:pPr>
        <w:pStyle w:val="Lgende"/>
        <w:rPr>
          <w:lang w:val="en-GB"/>
        </w:rPr>
      </w:pPr>
      <w:r>
        <w:rPr>
          <w:lang w:val="en-GB"/>
        </w:rPr>
        <w:t>Table 8: Accuracy and Kappa values of the Random Forest models in the training set</w:t>
      </w:r>
    </w:p>
    <w:tbl>
      <w:tblPr>
        <w:tblStyle w:val="Grilledutableau"/>
        <w:tblW w:w="0" w:type="auto"/>
        <w:tblLook w:val="04A0" w:firstRow="1" w:lastRow="0" w:firstColumn="1" w:lastColumn="0" w:noHBand="0" w:noVBand="1"/>
      </w:tblPr>
      <w:tblGrid>
        <w:gridCol w:w="3023"/>
        <w:gridCol w:w="3026"/>
        <w:gridCol w:w="3013"/>
      </w:tblGrid>
      <w:tr w:rsidR="000C01B2" w:rsidRPr="00FC5388" w:rsidTr="00A468DC">
        <w:tc>
          <w:tcPr>
            <w:tcW w:w="3132" w:type="dxa"/>
          </w:tcPr>
          <w:p w:rsidR="000C01B2" w:rsidRPr="00FC5388" w:rsidRDefault="000C01B2" w:rsidP="00A468DC">
            <w:pPr>
              <w:pStyle w:val="Corpsdetexte"/>
              <w:spacing w:line="480" w:lineRule="auto"/>
              <w:rPr>
                <w:rFonts w:cs="Arial"/>
                <w:lang w:val="en-GB"/>
              </w:rPr>
            </w:pPr>
            <w:r w:rsidRPr="00FC5388">
              <w:rPr>
                <w:rFonts w:cs="Arial"/>
                <w:lang w:val="en-GB"/>
              </w:rPr>
              <w:t>Number of features</w:t>
            </w:r>
          </w:p>
        </w:tc>
        <w:tc>
          <w:tcPr>
            <w:tcW w:w="3132" w:type="dxa"/>
            <w:vAlign w:val="center"/>
          </w:tcPr>
          <w:p w:rsidR="000C01B2" w:rsidRPr="00FC5388" w:rsidRDefault="000C01B2" w:rsidP="00A468DC">
            <w:pPr>
              <w:pStyle w:val="Corpsdetexte"/>
              <w:spacing w:line="480" w:lineRule="auto"/>
              <w:jc w:val="right"/>
              <w:rPr>
                <w:rFonts w:cs="Arial"/>
                <w:lang w:val="en-GB"/>
              </w:rPr>
            </w:pPr>
            <w:r w:rsidRPr="00FC5388">
              <w:rPr>
                <w:rFonts w:cs="Arial"/>
                <w:lang w:val="en-GB"/>
              </w:rPr>
              <w:t>Accuracy</w:t>
            </w:r>
          </w:p>
        </w:tc>
        <w:tc>
          <w:tcPr>
            <w:tcW w:w="3132" w:type="dxa"/>
            <w:vAlign w:val="center"/>
          </w:tcPr>
          <w:p w:rsidR="000C01B2" w:rsidRPr="00FC5388" w:rsidRDefault="000C01B2" w:rsidP="00A468DC">
            <w:pPr>
              <w:pStyle w:val="Corpsdetexte"/>
              <w:spacing w:line="480" w:lineRule="auto"/>
              <w:jc w:val="right"/>
              <w:rPr>
                <w:rFonts w:cs="Arial"/>
                <w:lang w:val="en-GB"/>
              </w:rPr>
            </w:pPr>
            <w:r w:rsidRPr="00FC5388">
              <w:rPr>
                <w:rFonts w:cs="Arial"/>
                <w:lang w:val="en-GB"/>
              </w:rPr>
              <w:t>Kappa</w:t>
            </w:r>
          </w:p>
        </w:tc>
      </w:tr>
      <w:tr w:rsidR="000C01B2" w:rsidRPr="00FC5388" w:rsidTr="00A468DC">
        <w:tc>
          <w:tcPr>
            <w:tcW w:w="3132" w:type="dxa"/>
          </w:tcPr>
          <w:p w:rsidR="000C01B2" w:rsidRPr="00FC5388" w:rsidRDefault="000C01B2" w:rsidP="00A468DC">
            <w:pPr>
              <w:pStyle w:val="Corpsdetexte"/>
              <w:spacing w:line="480" w:lineRule="auto"/>
              <w:rPr>
                <w:rFonts w:cs="Arial"/>
                <w:lang w:val="en-GB"/>
              </w:rPr>
            </w:pPr>
            <w:r w:rsidRPr="00FC5388">
              <w:rPr>
                <w:rFonts w:cs="Arial"/>
                <w:lang w:val="en-GB"/>
              </w:rPr>
              <w:t>2</w:t>
            </w:r>
          </w:p>
        </w:tc>
        <w:tc>
          <w:tcPr>
            <w:tcW w:w="3132" w:type="dxa"/>
            <w:vAlign w:val="bottom"/>
          </w:tcPr>
          <w:p w:rsidR="000C01B2" w:rsidRPr="00FC5388" w:rsidRDefault="000C01B2" w:rsidP="00A468DC">
            <w:pPr>
              <w:pStyle w:val="Corpsdetexte"/>
              <w:spacing w:line="480" w:lineRule="auto"/>
              <w:jc w:val="right"/>
              <w:rPr>
                <w:rFonts w:cs="Arial"/>
                <w:lang w:val="en-GB"/>
              </w:rPr>
            </w:pPr>
            <w:r w:rsidRPr="00FC5388">
              <w:rPr>
                <w:rFonts w:cs="Arial"/>
                <w:color w:val="000000"/>
                <w:lang w:val="en-GB"/>
              </w:rPr>
              <w:t>0.54</w:t>
            </w:r>
          </w:p>
        </w:tc>
        <w:tc>
          <w:tcPr>
            <w:tcW w:w="3132" w:type="dxa"/>
            <w:vAlign w:val="bottom"/>
          </w:tcPr>
          <w:p w:rsidR="000C01B2" w:rsidRPr="00FC5388" w:rsidRDefault="000C01B2" w:rsidP="00A468DC">
            <w:pPr>
              <w:pStyle w:val="Corpsdetexte"/>
              <w:spacing w:line="480" w:lineRule="auto"/>
              <w:jc w:val="right"/>
              <w:rPr>
                <w:rFonts w:cs="Arial"/>
                <w:lang w:val="en-GB"/>
              </w:rPr>
            </w:pPr>
            <w:r w:rsidRPr="00FC5388">
              <w:rPr>
                <w:rFonts w:cs="Arial"/>
                <w:color w:val="000000"/>
                <w:lang w:val="en-GB"/>
              </w:rPr>
              <w:t>0.48</w:t>
            </w:r>
          </w:p>
        </w:tc>
      </w:tr>
      <w:tr w:rsidR="000C01B2" w:rsidRPr="00FC5388" w:rsidTr="00A468DC">
        <w:tc>
          <w:tcPr>
            <w:tcW w:w="3132" w:type="dxa"/>
          </w:tcPr>
          <w:p w:rsidR="000C01B2" w:rsidRPr="00FC5388" w:rsidRDefault="000C01B2" w:rsidP="00A468DC">
            <w:pPr>
              <w:pStyle w:val="Corpsdetexte"/>
              <w:spacing w:line="480" w:lineRule="auto"/>
              <w:rPr>
                <w:rFonts w:cs="Arial"/>
                <w:lang w:val="en-GB"/>
              </w:rPr>
            </w:pPr>
            <w:r w:rsidRPr="00FC5388">
              <w:rPr>
                <w:rFonts w:cs="Arial"/>
                <w:lang w:val="en-GB"/>
              </w:rPr>
              <w:t>23</w:t>
            </w:r>
          </w:p>
        </w:tc>
        <w:tc>
          <w:tcPr>
            <w:tcW w:w="3132" w:type="dxa"/>
            <w:vAlign w:val="bottom"/>
          </w:tcPr>
          <w:p w:rsidR="000C01B2" w:rsidRPr="00FC5388" w:rsidRDefault="000C01B2" w:rsidP="00A468DC">
            <w:pPr>
              <w:pStyle w:val="Corpsdetexte"/>
              <w:spacing w:line="480" w:lineRule="auto"/>
              <w:jc w:val="right"/>
              <w:rPr>
                <w:rFonts w:cs="Arial"/>
                <w:lang w:val="en-GB"/>
              </w:rPr>
            </w:pPr>
            <w:r w:rsidRPr="00FC5388">
              <w:rPr>
                <w:rFonts w:cs="Arial"/>
                <w:color w:val="000000"/>
                <w:lang w:val="en-GB"/>
              </w:rPr>
              <w:t>0.57</w:t>
            </w:r>
          </w:p>
        </w:tc>
        <w:tc>
          <w:tcPr>
            <w:tcW w:w="3132" w:type="dxa"/>
            <w:vAlign w:val="bottom"/>
          </w:tcPr>
          <w:p w:rsidR="000C01B2" w:rsidRPr="00FC5388" w:rsidRDefault="000C01B2" w:rsidP="00A468DC">
            <w:pPr>
              <w:pStyle w:val="Corpsdetexte"/>
              <w:spacing w:line="480" w:lineRule="auto"/>
              <w:jc w:val="right"/>
              <w:rPr>
                <w:rFonts w:cs="Arial"/>
                <w:lang w:val="en-GB"/>
              </w:rPr>
            </w:pPr>
            <w:r w:rsidRPr="00FC5388">
              <w:rPr>
                <w:rFonts w:cs="Arial"/>
                <w:color w:val="000000"/>
                <w:lang w:val="en-GB"/>
              </w:rPr>
              <w:t>0.52</w:t>
            </w:r>
          </w:p>
        </w:tc>
      </w:tr>
      <w:tr w:rsidR="000C01B2" w:rsidRPr="00FC5388" w:rsidTr="00A468DC">
        <w:tc>
          <w:tcPr>
            <w:tcW w:w="3132" w:type="dxa"/>
          </w:tcPr>
          <w:p w:rsidR="000C01B2" w:rsidRPr="00FC5388" w:rsidRDefault="000C01B2" w:rsidP="00A468DC">
            <w:pPr>
              <w:pStyle w:val="Corpsdetexte"/>
              <w:spacing w:line="480" w:lineRule="auto"/>
              <w:rPr>
                <w:rFonts w:cs="Arial"/>
                <w:lang w:val="en-GB"/>
              </w:rPr>
            </w:pPr>
            <w:r w:rsidRPr="00FC5388">
              <w:rPr>
                <w:rFonts w:cs="Arial"/>
                <w:lang w:val="en-GB"/>
              </w:rPr>
              <w:t>45</w:t>
            </w:r>
          </w:p>
        </w:tc>
        <w:tc>
          <w:tcPr>
            <w:tcW w:w="3132" w:type="dxa"/>
            <w:vAlign w:val="bottom"/>
          </w:tcPr>
          <w:p w:rsidR="000C01B2" w:rsidRPr="00FC5388" w:rsidRDefault="000C01B2" w:rsidP="00A468DC">
            <w:pPr>
              <w:pStyle w:val="Corpsdetexte"/>
              <w:spacing w:line="480" w:lineRule="auto"/>
              <w:jc w:val="right"/>
              <w:rPr>
                <w:rFonts w:cs="Arial"/>
                <w:lang w:val="en-GB"/>
              </w:rPr>
            </w:pPr>
            <w:r w:rsidRPr="00FC5388">
              <w:rPr>
                <w:rFonts w:cs="Arial"/>
                <w:color w:val="000000"/>
                <w:lang w:val="en-GB"/>
              </w:rPr>
              <w:t>0.57</w:t>
            </w:r>
          </w:p>
        </w:tc>
        <w:tc>
          <w:tcPr>
            <w:tcW w:w="3132" w:type="dxa"/>
            <w:vAlign w:val="bottom"/>
          </w:tcPr>
          <w:p w:rsidR="000C01B2" w:rsidRPr="00FC5388" w:rsidRDefault="000C01B2" w:rsidP="00A468DC">
            <w:pPr>
              <w:pStyle w:val="Corpsdetexte"/>
              <w:spacing w:line="480" w:lineRule="auto"/>
              <w:jc w:val="right"/>
              <w:rPr>
                <w:rFonts w:cs="Arial"/>
                <w:lang w:val="en-GB"/>
              </w:rPr>
            </w:pPr>
            <w:r w:rsidRPr="00FC5388">
              <w:rPr>
                <w:rFonts w:cs="Arial"/>
                <w:color w:val="000000"/>
                <w:lang w:val="en-GB"/>
              </w:rPr>
              <w:t>0.51</w:t>
            </w:r>
          </w:p>
        </w:tc>
      </w:tr>
    </w:tbl>
    <w:p w:rsidR="000C01B2" w:rsidRPr="00FC5388" w:rsidRDefault="000C01B2" w:rsidP="000C01B2">
      <w:pPr>
        <w:pStyle w:val="Lgende"/>
        <w:spacing w:line="480" w:lineRule="auto"/>
        <w:rPr>
          <w:rFonts w:cs="Arial"/>
          <w:lang w:val="en-GB"/>
        </w:rPr>
      </w:pPr>
      <w:bookmarkStart w:id="1" w:name="_Ref460250856"/>
      <w:r w:rsidRPr="00FC5388">
        <w:rPr>
          <w:rFonts w:cs="Arial"/>
          <w:lang w:val="en-GB"/>
        </w:rPr>
        <w:t xml:space="preserve">Table </w:t>
      </w:r>
      <w:r w:rsidRPr="00FC5388">
        <w:rPr>
          <w:rFonts w:cs="Arial"/>
          <w:lang w:val="en-GB"/>
        </w:rPr>
        <w:fldChar w:fldCharType="begin"/>
      </w:r>
      <w:r w:rsidRPr="00FC5388">
        <w:rPr>
          <w:rFonts w:cs="Arial"/>
          <w:lang w:val="en-GB"/>
        </w:rPr>
        <w:instrText xml:space="preserve"> SEQ Table \* ARABIC </w:instrText>
      </w:r>
      <w:r w:rsidRPr="00FC5388">
        <w:rPr>
          <w:rFonts w:cs="Arial"/>
          <w:lang w:val="en-GB"/>
        </w:rPr>
        <w:fldChar w:fldCharType="separate"/>
      </w:r>
      <w:r w:rsidRPr="00FC5388">
        <w:rPr>
          <w:rFonts w:cs="Arial"/>
          <w:noProof/>
          <w:lang w:val="en-GB"/>
        </w:rPr>
        <w:t>8</w:t>
      </w:r>
      <w:r w:rsidRPr="00FC5388">
        <w:rPr>
          <w:rFonts w:cs="Arial"/>
          <w:lang w:val="en-GB"/>
        </w:rPr>
        <w:fldChar w:fldCharType="end"/>
      </w:r>
      <w:bookmarkEnd w:id="1"/>
      <w:r w:rsidRPr="00FC5388">
        <w:rPr>
          <w:rFonts w:cs="Arial"/>
          <w:lang w:val="en-GB"/>
        </w:rPr>
        <w:t xml:space="preserve">: Accuracy and Kappa values of the RF models on the </w:t>
      </w:r>
      <w:r w:rsidRPr="00FC5388">
        <w:rPr>
          <w:rFonts w:cs="Arial"/>
          <w:i/>
          <w:lang w:val="en-GB"/>
        </w:rPr>
        <w:t>training</w:t>
      </w:r>
      <w:r w:rsidRPr="00FC5388">
        <w:rPr>
          <w:rFonts w:cs="Arial"/>
          <w:lang w:val="en-GB"/>
        </w:rPr>
        <w:t xml:space="preserve"> set by the number of predictors considered. RF automatically chooses 45 predictors as the optimal number.</w:t>
      </w:r>
      <w:r>
        <w:rPr>
          <w:rFonts w:cs="Arial"/>
          <w:lang w:val="en-GB"/>
        </w:rPr>
        <w:t xml:space="preserve"> As this algorithm is different from the one used to </w:t>
      </w:r>
      <w:r>
        <w:rPr>
          <w:rFonts w:cs="Arial"/>
          <w:lang w:val="en-GB"/>
        </w:rPr>
        <w:lastRenderedPageBreak/>
        <w:t xml:space="preserve">estimate the number of useful predictors, the accuracy values differ slightly. The Kappa value (Cohen’ Kappa) is a measure of agreement between two observations of categorical variables. </w:t>
      </w:r>
    </w:p>
    <w:p w:rsidR="000C01B2" w:rsidRDefault="000C01B2">
      <w:pPr>
        <w:rPr>
          <w:lang w:val="en-GB"/>
        </w:rPr>
      </w:pPr>
      <w:r>
        <w:rPr>
          <w:lang w:val="en-GB"/>
        </w:rPr>
        <w:t>Testing of the model</w:t>
      </w:r>
    </w:p>
    <w:p w:rsidR="000C01B2" w:rsidRDefault="000C01B2" w:rsidP="000C01B2">
      <w:pPr>
        <w:pStyle w:val="Corpsdetexte"/>
        <w:spacing w:line="480" w:lineRule="auto"/>
        <w:rPr>
          <w:rFonts w:cs="Arial"/>
          <w:lang w:val="en-GB"/>
        </w:rPr>
      </w:pPr>
      <w:r w:rsidRPr="00FC5388">
        <w:rPr>
          <w:rFonts w:cs="Arial"/>
          <w:lang w:val="en-GB"/>
        </w:rPr>
        <w:t xml:space="preserve">When assessing the model with 45 predictors in the </w:t>
      </w:r>
      <w:r w:rsidRPr="00FC5388">
        <w:rPr>
          <w:rFonts w:cs="Arial"/>
          <w:i/>
          <w:lang w:val="en-GB"/>
        </w:rPr>
        <w:t>testing</w:t>
      </w:r>
      <w:r w:rsidRPr="00FC5388">
        <w:rPr>
          <w:rFonts w:cs="Arial"/>
          <w:lang w:val="en-GB"/>
        </w:rPr>
        <w:t xml:space="preserve"> set, the overall accuracy was of 0.529. Details of prediction performances </w:t>
      </w:r>
      <w:proofErr w:type="gramStart"/>
      <w:r w:rsidRPr="00FC5388">
        <w:rPr>
          <w:rFonts w:cs="Arial"/>
          <w:lang w:val="en-GB"/>
        </w:rPr>
        <w:t>are found</w:t>
      </w:r>
      <w:proofErr w:type="gramEnd"/>
      <w:r w:rsidRPr="00FC5388">
        <w:rPr>
          <w:rFonts w:cs="Arial"/>
          <w:lang w:val="en-GB"/>
        </w:rPr>
        <w:t xml:space="preserve"> in </w:t>
      </w:r>
      <w:r w:rsidRPr="00FC5388">
        <w:rPr>
          <w:rFonts w:cs="Arial"/>
          <w:lang w:val="en-GB"/>
        </w:rPr>
        <w:fldChar w:fldCharType="begin"/>
      </w:r>
      <w:r w:rsidRPr="00FC5388">
        <w:rPr>
          <w:rFonts w:cs="Arial"/>
          <w:lang w:val="en-GB"/>
        </w:rPr>
        <w:instrText xml:space="preserve"> REF _Ref460251382 \h  \* MERGEFORMAT </w:instrText>
      </w:r>
      <w:r w:rsidRPr="00FC5388">
        <w:rPr>
          <w:rFonts w:cs="Arial"/>
          <w:lang w:val="en-GB"/>
        </w:rPr>
      </w:r>
      <w:r w:rsidRPr="00FC5388">
        <w:rPr>
          <w:rFonts w:cs="Arial"/>
          <w:lang w:val="en-GB"/>
        </w:rPr>
        <w:fldChar w:fldCharType="separate"/>
      </w:r>
      <w:r w:rsidRPr="00FC5388">
        <w:rPr>
          <w:rFonts w:cs="Arial"/>
          <w:lang w:val="en-GB"/>
        </w:rPr>
        <w:t xml:space="preserve">Table </w:t>
      </w:r>
      <w:r w:rsidRPr="00FC5388">
        <w:rPr>
          <w:rFonts w:cs="Arial"/>
          <w:noProof/>
          <w:lang w:val="en-GB"/>
        </w:rPr>
        <w:t>9</w:t>
      </w:r>
      <w:r w:rsidRPr="00FC5388">
        <w:rPr>
          <w:rFonts w:cs="Arial"/>
          <w:lang w:val="en-GB"/>
        </w:rPr>
        <w:fldChar w:fldCharType="end"/>
      </w:r>
      <w:r w:rsidRPr="00FC5388">
        <w:rPr>
          <w:rFonts w:cs="Arial"/>
          <w:lang w:val="en-GB"/>
        </w:rPr>
        <w:t xml:space="preserve">. Specificity of the model is overall very large (above 0.88), whereas sensitivity is variable (between 0.26 and 0.89). </w:t>
      </w:r>
    </w:p>
    <w:p w:rsidR="000C01B2" w:rsidRPr="00FC5388" w:rsidRDefault="000C01B2" w:rsidP="000C01B2">
      <w:pPr>
        <w:pStyle w:val="Lgende"/>
        <w:rPr>
          <w:lang w:val="en-GB"/>
        </w:rPr>
      </w:pPr>
      <w:r>
        <w:rPr>
          <w:lang w:val="en-GB"/>
        </w:rPr>
        <w:t>Table 9: Performances values for the Random Forest model in the testing set</w:t>
      </w:r>
    </w:p>
    <w:tbl>
      <w:tblPr>
        <w:tblStyle w:val="Grilledutableau"/>
        <w:tblW w:w="10921" w:type="dxa"/>
        <w:jc w:val="center"/>
        <w:tblLayout w:type="fixed"/>
        <w:tblLook w:val="04A0" w:firstRow="1" w:lastRow="0" w:firstColumn="1" w:lastColumn="0" w:noHBand="0" w:noVBand="1"/>
      </w:tblPr>
      <w:tblGrid>
        <w:gridCol w:w="1795"/>
        <w:gridCol w:w="1014"/>
        <w:gridCol w:w="1014"/>
        <w:gridCol w:w="1014"/>
        <w:gridCol w:w="1014"/>
        <w:gridCol w:w="1014"/>
        <w:gridCol w:w="1014"/>
        <w:gridCol w:w="1014"/>
        <w:gridCol w:w="1014"/>
        <w:gridCol w:w="1014"/>
      </w:tblGrid>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 1</w:t>
            </w: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 2</w:t>
            </w: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 3</w:t>
            </w: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 4</w:t>
            </w: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 5</w:t>
            </w: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 6</w:t>
            </w: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Cluster7</w:t>
            </w: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 8</w:t>
            </w:r>
          </w:p>
        </w:tc>
        <w:tc>
          <w:tcPr>
            <w:tcW w:w="1014" w:type="dxa"/>
            <w:noWrap/>
            <w:vAlign w:val="center"/>
            <w:hideMark/>
          </w:tcPr>
          <w:p w:rsidR="000C01B2" w:rsidRPr="0026350D" w:rsidRDefault="000C01B2" w:rsidP="00A468DC">
            <w:pPr>
              <w:pStyle w:val="Corpsdetexte"/>
              <w:spacing w:line="480" w:lineRule="auto"/>
              <w:jc w:val="right"/>
              <w:rPr>
                <w:rFonts w:cs="Arial"/>
                <w:sz w:val="18"/>
                <w:lang w:val="en-GB"/>
              </w:rPr>
            </w:pPr>
            <w:r w:rsidRPr="0026350D">
              <w:rPr>
                <w:rFonts w:cs="Arial"/>
                <w:sz w:val="18"/>
                <w:lang w:val="en-GB"/>
              </w:rPr>
              <w:t>Cluster 9</w:t>
            </w:r>
          </w:p>
        </w:tc>
      </w:tr>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r w:rsidRPr="0026350D">
              <w:rPr>
                <w:rFonts w:cs="Arial"/>
                <w:sz w:val="18"/>
                <w:lang w:val="en-GB"/>
              </w:rPr>
              <w:t>Sensitivity</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0.58</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0.67</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0.33</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0.62</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0.53</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0.50</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0.26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0.89</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0.45</w:t>
            </w:r>
          </w:p>
        </w:tc>
      </w:tr>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r w:rsidRPr="0026350D">
              <w:rPr>
                <w:rFonts w:cs="Arial"/>
                <w:sz w:val="18"/>
                <w:lang w:val="en-GB"/>
              </w:rPr>
              <w:t>Specificity</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0.88</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0.99</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0.98</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0.90</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0.98</w:t>
            </w:r>
          </w:p>
        </w:tc>
      </w:tr>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r w:rsidRPr="0026350D">
              <w:rPr>
                <w:rFonts w:cs="Arial"/>
                <w:sz w:val="18"/>
                <w:lang w:val="en-GB"/>
              </w:rPr>
              <w:t>Positive predictive value</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0.29</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0.37</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0.81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0.41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0.35</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0.54</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0.77</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0.62</w:t>
            </w:r>
          </w:p>
        </w:tc>
      </w:tr>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r w:rsidRPr="0026350D">
              <w:rPr>
                <w:rFonts w:cs="Arial"/>
                <w:sz w:val="18"/>
                <w:lang w:val="en-GB"/>
              </w:rPr>
              <w:t>Negative predictive value</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0.89</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0.94</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0.94</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0.95</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0.88</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0.98</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0.96</w:t>
            </w:r>
          </w:p>
        </w:tc>
      </w:tr>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r w:rsidRPr="0026350D">
              <w:rPr>
                <w:rFonts w:cs="Arial"/>
                <w:sz w:val="18"/>
                <w:lang w:val="en-GB"/>
              </w:rPr>
              <w:t>Prevalence</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0.078</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0.098</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0.14</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0.14</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0.091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0.15</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0.12</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0.072</w:t>
            </w:r>
          </w:p>
        </w:tc>
      </w:tr>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r w:rsidRPr="0026350D">
              <w:rPr>
                <w:rFonts w:cs="Arial"/>
                <w:sz w:val="18"/>
                <w:lang w:val="en-GB"/>
              </w:rPr>
              <w:t>Detection rate</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0.046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0.065</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0.046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0.085</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0.059</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0.046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0.039</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0.033</w:t>
            </w:r>
          </w:p>
        </w:tc>
      </w:tr>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r w:rsidRPr="0026350D">
              <w:rPr>
                <w:rFonts w:cs="Arial"/>
                <w:sz w:val="18"/>
                <w:lang w:val="en-GB"/>
              </w:rPr>
              <w:t>Detection prevalence</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0.16</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0.072</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0.12</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0.10</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0.14</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0.13</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0.072</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0.14</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0.052</w:t>
            </w:r>
          </w:p>
        </w:tc>
      </w:tr>
      <w:tr w:rsidR="000C01B2" w:rsidRPr="0026350D" w:rsidTr="00A468DC">
        <w:trPr>
          <w:trHeight w:val="300"/>
          <w:jc w:val="center"/>
        </w:trPr>
        <w:tc>
          <w:tcPr>
            <w:tcW w:w="1795" w:type="dxa"/>
            <w:noWrap/>
            <w:vAlign w:val="center"/>
            <w:hideMark/>
          </w:tcPr>
          <w:p w:rsidR="000C01B2" w:rsidRPr="0026350D" w:rsidRDefault="000C01B2" w:rsidP="00A468DC">
            <w:pPr>
              <w:pStyle w:val="Corpsdetexte"/>
              <w:spacing w:line="480" w:lineRule="auto"/>
              <w:jc w:val="left"/>
              <w:rPr>
                <w:rFonts w:cs="Arial"/>
                <w:sz w:val="18"/>
                <w:lang w:val="en-GB"/>
              </w:rPr>
            </w:pPr>
            <w:r w:rsidRPr="0026350D">
              <w:rPr>
                <w:rFonts w:cs="Arial"/>
                <w:sz w:val="18"/>
                <w:lang w:val="en-GB"/>
              </w:rPr>
              <w:t>Balanced accuracy</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0.73</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0.83</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0.62</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0.80</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0.72</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0.70</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0.61</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0.93</w:t>
            </w:r>
          </w:p>
        </w:tc>
        <w:tc>
          <w:tcPr>
            <w:tcW w:w="1014" w:type="dxa"/>
            <w:noWrap/>
            <w:hideMark/>
          </w:tcPr>
          <w:p w:rsidR="000C01B2" w:rsidRPr="0026350D" w:rsidRDefault="000C01B2" w:rsidP="00A468DC">
            <w:pPr>
              <w:pStyle w:val="Corpsdetexte"/>
              <w:spacing w:line="480" w:lineRule="auto"/>
              <w:jc w:val="right"/>
              <w:rPr>
                <w:rFonts w:cs="Arial"/>
                <w:sz w:val="18"/>
                <w:lang w:val="en-GB"/>
              </w:rPr>
            </w:pPr>
            <w:r w:rsidRPr="0026350D">
              <w:rPr>
                <w:sz w:val="18"/>
                <w:lang w:val="en-GB"/>
              </w:rPr>
              <w:t>0.72</w:t>
            </w:r>
          </w:p>
        </w:tc>
      </w:tr>
    </w:tbl>
    <w:p w:rsidR="000C01B2" w:rsidRPr="00FC5388" w:rsidRDefault="000C01B2" w:rsidP="000C01B2">
      <w:pPr>
        <w:pStyle w:val="Lgende"/>
        <w:spacing w:line="480" w:lineRule="auto"/>
        <w:rPr>
          <w:rFonts w:cs="Arial"/>
          <w:lang w:val="en-GB"/>
        </w:rPr>
      </w:pPr>
      <w:bookmarkStart w:id="2" w:name="_Ref460251382"/>
      <w:r w:rsidRPr="00FC5388">
        <w:rPr>
          <w:rFonts w:cs="Arial"/>
          <w:lang w:val="en-GB"/>
        </w:rPr>
        <w:t xml:space="preserve">Table </w:t>
      </w:r>
      <w:r w:rsidRPr="00FC5388">
        <w:rPr>
          <w:rFonts w:cs="Arial"/>
          <w:lang w:val="en-GB"/>
        </w:rPr>
        <w:fldChar w:fldCharType="begin"/>
      </w:r>
      <w:r w:rsidRPr="00FC5388">
        <w:rPr>
          <w:rFonts w:cs="Arial"/>
          <w:lang w:val="en-GB"/>
        </w:rPr>
        <w:instrText xml:space="preserve"> SEQ Table \* ARABIC </w:instrText>
      </w:r>
      <w:r w:rsidRPr="00FC5388">
        <w:rPr>
          <w:rFonts w:cs="Arial"/>
          <w:lang w:val="en-GB"/>
        </w:rPr>
        <w:fldChar w:fldCharType="separate"/>
      </w:r>
      <w:r w:rsidRPr="00FC5388">
        <w:rPr>
          <w:rFonts w:cs="Arial"/>
          <w:noProof/>
          <w:lang w:val="en-GB"/>
        </w:rPr>
        <w:t>9</w:t>
      </w:r>
      <w:r w:rsidRPr="00FC5388">
        <w:rPr>
          <w:rFonts w:cs="Arial"/>
          <w:lang w:val="en-GB"/>
        </w:rPr>
        <w:fldChar w:fldCharType="end"/>
      </w:r>
      <w:bookmarkEnd w:id="2"/>
      <w:r w:rsidRPr="00FC5388">
        <w:rPr>
          <w:rFonts w:cs="Arial"/>
          <w:lang w:val="en-GB"/>
        </w:rPr>
        <w:t xml:space="preserve">: Performance values for the RF model in each of the </w:t>
      </w:r>
      <w:proofErr w:type="gramStart"/>
      <w:r w:rsidRPr="00FC5388">
        <w:rPr>
          <w:rFonts w:cs="Arial"/>
          <w:lang w:val="en-GB"/>
        </w:rPr>
        <w:t>9</w:t>
      </w:r>
      <w:proofErr w:type="gramEnd"/>
      <w:r w:rsidRPr="00FC5388">
        <w:rPr>
          <w:rFonts w:cs="Arial"/>
          <w:lang w:val="en-GB"/>
        </w:rPr>
        <w:t xml:space="preserve"> clusters of patients, using 45 predictors and evaluated in the testing set of patients (153 patients). </w:t>
      </w:r>
    </w:p>
    <w:p w:rsidR="000C01B2" w:rsidRPr="00FC5388" w:rsidRDefault="000C01B2" w:rsidP="000C01B2">
      <w:pPr>
        <w:pStyle w:val="Corpsdetexte"/>
        <w:spacing w:line="480" w:lineRule="auto"/>
        <w:rPr>
          <w:rFonts w:cs="Arial"/>
          <w:lang w:val="en-GB"/>
        </w:rPr>
      </w:pPr>
      <w:r w:rsidRPr="00FC5388">
        <w:rPr>
          <w:rFonts w:cs="Arial"/>
          <w:lang w:val="en-GB"/>
        </w:rPr>
        <w:t xml:space="preserve">The relative importance of the predictors when building the model </w:t>
      </w:r>
      <w:proofErr w:type="gramStart"/>
      <w:r w:rsidRPr="00FC5388">
        <w:rPr>
          <w:rFonts w:cs="Arial"/>
          <w:lang w:val="en-GB"/>
        </w:rPr>
        <w:t>is described</w:t>
      </w:r>
      <w:proofErr w:type="gramEnd"/>
      <w:r w:rsidRPr="00FC5388">
        <w:rPr>
          <w:rFonts w:cs="Arial"/>
          <w:lang w:val="en-GB"/>
        </w:rPr>
        <w:t xml:space="preserve"> in </w:t>
      </w:r>
      <w:r w:rsidRPr="00FC5388">
        <w:rPr>
          <w:rFonts w:cs="Arial"/>
          <w:lang w:val="en-GB"/>
        </w:rPr>
        <w:fldChar w:fldCharType="begin"/>
      </w:r>
      <w:r w:rsidRPr="00FC5388">
        <w:rPr>
          <w:rFonts w:cs="Arial"/>
          <w:lang w:val="en-GB"/>
        </w:rPr>
        <w:instrText xml:space="preserve"> REF _Ref460322704 \h  \* MERGEFORMAT </w:instrText>
      </w:r>
      <w:r w:rsidRPr="00FC5388">
        <w:rPr>
          <w:rFonts w:cs="Arial"/>
          <w:lang w:val="en-GB"/>
        </w:rPr>
      </w:r>
      <w:r w:rsidRPr="00FC5388">
        <w:rPr>
          <w:rFonts w:cs="Arial"/>
          <w:lang w:val="en-GB"/>
        </w:rPr>
        <w:fldChar w:fldCharType="separate"/>
      </w:r>
      <w:r w:rsidRPr="00FC5388">
        <w:rPr>
          <w:rFonts w:cs="Arial"/>
          <w:lang w:val="en-GB"/>
        </w:rPr>
        <w:t xml:space="preserve">Figure </w:t>
      </w:r>
      <w:r w:rsidRPr="00FC5388">
        <w:rPr>
          <w:rFonts w:cs="Arial"/>
          <w:noProof/>
          <w:lang w:val="en-GB"/>
        </w:rPr>
        <w:t>11</w:t>
      </w:r>
      <w:r w:rsidRPr="00FC5388">
        <w:rPr>
          <w:rFonts w:cs="Arial"/>
          <w:lang w:val="en-GB"/>
        </w:rPr>
        <w:fldChar w:fldCharType="end"/>
      </w:r>
      <w:r w:rsidRPr="00FC5388">
        <w:rPr>
          <w:rFonts w:cs="Arial"/>
          <w:lang w:val="en-GB"/>
        </w:rPr>
        <w:t xml:space="preserve">. The five most important predictors of this model are the mRNA expression of CD3D, c1orf86, PRR7, F12 as well as the methylation state of ANXA5. </w:t>
      </w:r>
    </w:p>
    <w:p w:rsidR="000C01B2" w:rsidRPr="00FC5388" w:rsidRDefault="000C01B2" w:rsidP="000C01B2">
      <w:pPr>
        <w:pStyle w:val="Lgende"/>
        <w:spacing w:line="480" w:lineRule="auto"/>
        <w:rPr>
          <w:rFonts w:cs="Arial"/>
          <w:lang w:val="en-GB"/>
        </w:rPr>
      </w:pPr>
      <w:bookmarkStart w:id="3" w:name="_Ref460322704"/>
      <w:r w:rsidRPr="00FC5388">
        <w:rPr>
          <w:rFonts w:cs="Arial"/>
          <w:lang w:val="en-GB"/>
        </w:rPr>
        <w:t xml:space="preserve">Figure </w:t>
      </w:r>
      <w:r w:rsidRPr="00FC5388">
        <w:rPr>
          <w:rFonts w:cs="Arial"/>
          <w:lang w:val="en-GB"/>
        </w:rPr>
        <w:fldChar w:fldCharType="begin"/>
      </w:r>
      <w:r w:rsidRPr="00FC5388">
        <w:rPr>
          <w:rFonts w:cs="Arial"/>
          <w:lang w:val="en-GB"/>
        </w:rPr>
        <w:instrText xml:space="preserve"> SEQ Figure \* ARABIC </w:instrText>
      </w:r>
      <w:r w:rsidRPr="00FC5388">
        <w:rPr>
          <w:rFonts w:cs="Arial"/>
          <w:lang w:val="en-GB"/>
        </w:rPr>
        <w:fldChar w:fldCharType="separate"/>
      </w:r>
      <w:r w:rsidRPr="00FC5388">
        <w:rPr>
          <w:rFonts w:cs="Arial"/>
          <w:noProof/>
          <w:lang w:val="en-GB"/>
        </w:rPr>
        <w:t>11</w:t>
      </w:r>
      <w:r w:rsidRPr="00FC5388">
        <w:rPr>
          <w:rFonts w:cs="Arial"/>
          <w:lang w:val="en-GB"/>
        </w:rPr>
        <w:fldChar w:fldCharType="end"/>
      </w:r>
      <w:bookmarkEnd w:id="3"/>
      <w:r w:rsidRPr="00FC5388">
        <w:rPr>
          <w:rFonts w:cs="Arial"/>
          <w:lang w:val="en-GB"/>
        </w:rPr>
        <w:t xml:space="preserve">: Relative importance of the top 20 predictors building the final model of the RF. The importance axis </w:t>
      </w:r>
      <w:proofErr w:type="gramStart"/>
      <w:r w:rsidRPr="00FC5388">
        <w:rPr>
          <w:rFonts w:cs="Arial"/>
          <w:lang w:val="en-GB"/>
        </w:rPr>
        <w:t>is scaled</w:t>
      </w:r>
      <w:proofErr w:type="gramEnd"/>
      <w:r w:rsidRPr="00FC5388">
        <w:rPr>
          <w:rFonts w:cs="Arial"/>
          <w:lang w:val="en-GB"/>
        </w:rPr>
        <w:t>, with the mRNA expression of CD3D scaled to 100% and the methylation state of POLA2 to 0% (not shown).</w:t>
      </w:r>
    </w:p>
    <w:p w:rsidR="000C01B2" w:rsidRPr="00FC5388" w:rsidRDefault="000C01B2" w:rsidP="000C01B2">
      <w:pPr>
        <w:pStyle w:val="Corpsdetexte"/>
        <w:spacing w:line="480" w:lineRule="auto"/>
        <w:rPr>
          <w:rFonts w:cs="Arial"/>
          <w:lang w:val="en-GB"/>
        </w:rPr>
      </w:pPr>
      <w:r w:rsidRPr="00FC5388">
        <w:rPr>
          <w:rFonts w:cs="Arial"/>
          <w:lang w:val="en-GB"/>
        </w:rPr>
        <w:lastRenderedPageBreak/>
        <w:t xml:space="preserve">CD3D is a T-cell surface marker, involved in T-cell development and signal transduction. CD3D expression in cancer cells is a sign of lymphocyte infiltration and is linked with higher patient survival in several cancer types (melanoma, ovarian, head and neck, breast, urothelial, colorectal, lung, hepatocellular, </w:t>
      </w:r>
      <w:proofErr w:type="gramStart"/>
      <w:r w:rsidRPr="00FC5388">
        <w:rPr>
          <w:rFonts w:cs="Arial"/>
          <w:lang w:val="en-GB"/>
        </w:rPr>
        <w:t>gall-bladder</w:t>
      </w:r>
      <w:proofErr w:type="gramEnd"/>
      <w:r w:rsidRPr="00FC5388">
        <w:rPr>
          <w:rFonts w:cs="Arial"/>
          <w:lang w:val="en-GB"/>
        </w:rPr>
        <w:t xml:space="preserve"> and oesophageal) </w:t>
      </w:r>
      <w:r>
        <w:rPr>
          <w:rFonts w:cs="Arial"/>
          <w:lang w:val="en-GB"/>
        </w:rPr>
        <w:t>{Angell, 2013 #1571}</w:t>
      </w:r>
      <w:r w:rsidRPr="00FC5388">
        <w:rPr>
          <w:rFonts w:cs="Arial"/>
          <w:lang w:val="en-GB"/>
        </w:rPr>
        <w:t xml:space="preserve">. CD3D has been associated with a cluster of good prognostic patients in a larger cohort of breast cancer patients </w:t>
      </w:r>
      <w:r>
        <w:rPr>
          <w:rFonts w:cs="Arial"/>
          <w:lang w:val="en-GB"/>
        </w:rPr>
        <w:t>{Curtis, 2012 #1581}</w:t>
      </w:r>
      <w:r w:rsidRPr="00FC5388">
        <w:rPr>
          <w:rFonts w:cs="Arial"/>
          <w:lang w:val="en-GB"/>
        </w:rPr>
        <w:t xml:space="preserve">, and similar observations have been made in ovarian cancer </w:t>
      </w:r>
      <w:r>
        <w:rPr>
          <w:rFonts w:cs="Arial"/>
          <w:lang w:val="en-GB"/>
        </w:rPr>
        <w:t>{</w:t>
      </w:r>
      <w:proofErr w:type="spellStart"/>
      <w:r>
        <w:rPr>
          <w:rFonts w:cs="Arial"/>
          <w:lang w:val="en-GB"/>
        </w:rPr>
        <w:t>Leffers</w:t>
      </w:r>
      <w:proofErr w:type="spellEnd"/>
      <w:r>
        <w:rPr>
          <w:rFonts w:cs="Arial"/>
          <w:lang w:val="en-GB"/>
        </w:rPr>
        <w:t>, 2010 #1592}</w:t>
      </w:r>
      <w:r w:rsidRPr="00FC5388">
        <w:rPr>
          <w:rFonts w:cs="Arial"/>
          <w:lang w:val="en-GB"/>
        </w:rPr>
        <w:t>.</w:t>
      </w:r>
    </w:p>
    <w:p w:rsidR="000C01B2" w:rsidRPr="00FC5388" w:rsidRDefault="000C01B2" w:rsidP="000C01B2">
      <w:pPr>
        <w:pStyle w:val="Corpsdetexte"/>
        <w:spacing w:line="480" w:lineRule="auto"/>
        <w:rPr>
          <w:rFonts w:cs="Arial"/>
          <w:lang w:val="en-GB"/>
        </w:rPr>
      </w:pPr>
      <w:r w:rsidRPr="00FC5388">
        <w:rPr>
          <w:rFonts w:cs="Arial"/>
          <w:lang w:val="en-GB"/>
        </w:rPr>
        <w:t xml:space="preserve">C1orf86 (or FAAP20, </w:t>
      </w:r>
      <w:proofErr w:type="spellStart"/>
      <w:r w:rsidRPr="00FC5388">
        <w:rPr>
          <w:rFonts w:cs="Arial"/>
          <w:lang w:val="en-GB"/>
        </w:rPr>
        <w:t>Fanconi</w:t>
      </w:r>
      <w:proofErr w:type="spellEnd"/>
      <w:r w:rsidRPr="00FC5388">
        <w:rPr>
          <w:rFonts w:cs="Arial"/>
          <w:lang w:val="en-GB"/>
        </w:rPr>
        <w:t xml:space="preserve"> Anaemia Core Complex Associated Protein 20) is part of a 14 proteins complex recruited to the sites of DNA </w:t>
      </w:r>
      <w:proofErr w:type="spellStart"/>
      <w:r w:rsidRPr="00FC5388">
        <w:rPr>
          <w:rFonts w:cs="Arial"/>
          <w:lang w:val="en-GB"/>
        </w:rPr>
        <w:t>interstrand</w:t>
      </w:r>
      <w:proofErr w:type="spellEnd"/>
      <w:r w:rsidRPr="00FC5388">
        <w:rPr>
          <w:rFonts w:cs="Arial"/>
          <w:lang w:val="en-GB"/>
        </w:rPr>
        <w:t xml:space="preserve"> crosslink damages. Defects in this repair mechanism can cause the development and progression of cancers </w:t>
      </w:r>
      <w:r>
        <w:rPr>
          <w:rFonts w:cs="Arial"/>
          <w:lang w:val="en-GB"/>
        </w:rPr>
        <w:t>{Deans, 2011 #1596}</w:t>
      </w:r>
      <w:r w:rsidRPr="00FC5388">
        <w:rPr>
          <w:rFonts w:cs="Arial"/>
          <w:lang w:val="en-GB"/>
        </w:rPr>
        <w:t xml:space="preserve">. Inactivation of the </w:t>
      </w:r>
      <w:proofErr w:type="spellStart"/>
      <w:r w:rsidRPr="00FC5388">
        <w:rPr>
          <w:rFonts w:cs="Arial"/>
          <w:lang w:val="en-GB"/>
        </w:rPr>
        <w:t>Fanconi</w:t>
      </w:r>
      <w:proofErr w:type="spellEnd"/>
      <w:r w:rsidRPr="00FC5388">
        <w:rPr>
          <w:rFonts w:cs="Arial"/>
          <w:lang w:val="en-GB"/>
        </w:rPr>
        <w:t xml:space="preserve"> anaemia pathway causes the </w:t>
      </w:r>
      <w:proofErr w:type="spellStart"/>
      <w:r w:rsidRPr="00FC5388">
        <w:rPr>
          <w:rFonts w:cs="Arial"/>
          <w:lang w:val="en-GB"/>
        </w:rPr>
        <w:t>Fanconi</w:t>
      </w:r>
      <w:proofErr w:type="spellEnd"/>
      <w:r w:rsidRPr="00FC5388">
        <w:rPr>
          <w:rFonts w:cs="Arial"/>
          <w:lang w:val="en-GB"/>
        </w:rPr>
        <w:t xml:space="preserve"> anaemia disease, which is a predisposition for cancer </w:t>
      </w:r>
      <w:r>
        <w:rPr>
          <w:rFonts w:cs="Arial"/>
          <w:lang w:val="en-GB"/>
        </w:rPr>
        <w:t>{</w:t>
      </w:r>
      <w:proofErr w:type="spellStart"/>
      <w:r>
        <w:rPr>
          <w:rFonts w:cs="Arial"/>
          <w:lang w:val="en-GB"/>
        </w:rPr>
        <w:t>Ceccaldi</w:t>
      </w:r>
      <w:proofErr w:type="spellEnd"/>
      <w:r>
        <w:rPr>
          <w:rFonts w:cs="Arial"/>
          <w:lang w:val="en-GB"/>
        </w:rPr>
        <w:t>, 2016 #1598}</w:t>
      </w:r>
      <w:r w:rsidRPr="00FC5388">
        <w:rPr>
          <w:rFonts w:cs="Arial"/>
          <w:lang w:val="en-GB"/>
        </w:rPr>
        <w:t>.</w:t>
      </w:r>
    </w:p>
    <w:p w:rsidR="000C01B2" w:rsidRPr="00FC5388" w:rsidRDefault="000C01B2" w:rsidP="000C01B2">
      <w:pPr>
        <w:pStyle w:val="Corpsdetexte"/>
        <w:spacing w:line="480" w:lineRule="auto"/>
        <w:rPr>
          <w:rFonts w:cs="Arial"/>
          <w:lang w:val="en-GB"/>
        </w:rPr>
      </w:pPr>
      <w:r w:rsidRPr="00FC5388">
        <w:rPr>
          <w:rFonts w:cs="Arial"/>
          <w:lang w:val="en-GB"/>
        </w:rPr>
        <w:t>PRR7 (</w:t>
      </w:r>
      <w:proofErr w:type="spellStart"/>
      <w:r w:rsidRPr="00FC5388">
        <w:rPr>
          <w:rFonts w:cs="Arial"/>
          <w:lang w:val="en-GB"/>
        </w:rPr>
        <w:t>Proline</w:t>
      </w:r>
      <w:proofErr w:type="spellEnd"/>
      <w:r w:rsidRPr="00FC5388">
        <w:rPr>
          <w:rFonts w:cs="Arial"/>
          <w:lang w:val="en-GB"/>
        </w:rPr>
        <w:t xml:space="preserve">-Rich 7 (synaptic) is a potential regulator of signalling and apoptosis in activated T cells </w:t>
      </w:r>
      <w:r>
        <w:rPr>
          <w:rFonts w:cs="Arial"/>
          <w:lang w:val="en-GB"/>
        </w:rPr>
        <w:t>{</w:t>
      </w:r>
      <w:proofErr w:type="spellStart"/>
      <w:r>
        <w:rPr>
          <w:rFonts w:cs="Arial"/>
          <w:lang w:val="en-GB"/>
        </w:rPr>
        <w:t>Hrdinka</w:t>
      </w:r>
      <w:proofErr w:type="spellEnd"/>
      <w:r>
        <w:rPr>
          <w:rFonts w:cs="Arial"/>
          <w:lang w:val="en-GB"/>
        </w:rPr>
        <w:t>, 2011 #1604}</w:t>
      </w:r>
      <w:r w:rsidRPr="00FC5388">
        <w:rPr>
          <w:rFonts w:cs="Arial"/>
          <w:lang w:val="en-GB"/>
        </w:rPr>
        <w:t xml:space="preserve">. </w:t>
      </w:r>
    </w:p>
    <w:p w:rsidR="000C01B2" w:rsidRPr="00FC5388" w:rsidRDefault="000C01B2" w:rsidP="000C01B2">
      <w:pPr>
        <w:pStyle w:val="Corpsdetexte"/>
        <w:spacing w:line="480" w:lineRule="auto"/>
        <w:rPr>
          <w:rFonts w:cs="Arial"/>
          <w:lang w:val="en-GB"/>
        </w:rPr>
      </w:pPr>
      <w:r w:rsidRPr="00FC5388">
        <w:rPr>
          <w:rFonts w:cs="Arial"/>
          <w:lang w:val="en-GB"/>
        </w:rPr>
        <w:t xml:space="preserve">F12 (or Coagulation factor XII) </w:t>
      </w:r>
      <w:proofErr w:type="gramStart"/>
      <w:r w:rsidRPr="00FC5388">
        <w:rPr>
          <w:rFonts w:cs="Arial"/>
          <w:lang w:val="en-GB"/>
        </w:rPr>
        <w:t>is found</w:t>
      </w:r>
      <w:proofErr w:type="gramEnd"/>
      <w:r w:rsidRPr="00FC5388">
        <w:rPr>
          <w:rFonts w:cs="Arial"/>
          <w:lang w:val="en-GB"/>
        </w:rPr>
        <w:t xml:space="preserve"> upregulated in epithelial ovarian cancer </w:t>
      </w:r>
      <w:r>
        <w:rPr>
          <w:rFonts w:cs="Arial"/>
          <w:lang w:val="en-GB"/>
        </w:rPr>
        <w:t>{Wang, 2005 #1605}</w:t>
      </w:r>
      <w:r w:rsidRPr="00FC5388">
        <w:rPr>
          <w:rFonts w:cs="Arial"/>
          <w:lang w:val="en-GB"/>
        </w:rPr>
        <w:t xml:space="preserve">. F12 can trigger a macrophage invasion in tumour environments which promotes metastasis </w:t>
      </w:r>
      <w:r>
        <w:rPr>
          <w:rFonts w:cs="Arial"/>
          <w:lang w:val="en-GB"/>
        </w:rPr>
        <w:t>{</w:t>
      </w:r>
      <w:proofErr w:type="spellStart"/>
      <w:r>
        <w:rPr>
          <w:rFonts w:cs="Arial"/>
          <w:lang w:val="en-GB"/>
        </w:rPr>
        <w:t>Musrap</w:t>
      </w:r>
      <w:proofErr w:type="spellEnd"/>
      <w:r>
        <w:rPr>
          <w:rFonts w:cs="Arial"/>
          <w:lang w:val="en-GB"/>
        </w:rPr>
        <w:t>, 2012 #1606}</w:t>
      </w:r>
      <w:r w:rsidRPr="00FC5388">
        <w:rPr>
          <w:rFonts w:cs="Arial"/>
          <w:lang w:val="en-GB"/>
        </w:rPr>
        <w:t xml:space="preserve">, and is linked with monocyte/macrophage mediating peritoneal metastasis of epithelial ovarian cancer </w:t>
      </w:r>
      <w:r>
        <w:rPr>
          <w:rFonts w:cs="Arial"/>
          <w:lang w:val="en-GB"/>
        </w:rPr>
        <w:t>{Wang, 2010 #1607}</w:t>
      </w:r>
      <w:r w:rsidRPr="00FC5388">
        <w:rPr>
          <w:rFonts w:cs="Arial"/>
          <w:lang w:val="en-GB"/>
        </w:rPr>
        <w:t>.</w:t>
      </w:r>
    </w:p>
    <w:p w:rsidR="000C01B2" w:rsidRPr="00FC5388" w:rsidRDefault="000C01B2" w:rsidP="000C01B2">
      <w:pPr>
        <w:pStyle w:val="Corpsdetexte"/>
        <w:spacing w:line="480" w:lineRule="auto"/>
        <w:rPr>
          <w:rFonts w:cs="Arial"/>
          <w:lang w:val="en-GB"/>
        </w:rPr>
      </w:pPr>
      <w:r w:rsidRPr="00FC5388">
        <w:rPr>
          <w:rFonts w:cs="Arial"/>
          <w:lang w:val="en-GB"/>
        </w:rPr>
        <w:t xml:space="preserve">The importance of ANXA5 methylation status is unclear. While </w:t>
      </w:r>
      <w:proofErr w:type="spellStart"/>
      <w:r w:rsidRPr="00FC5388">
        <w:rPr>
          <w:rFonts w:cs="Arial"/>
          <w:lang w:val="en-GB"/>
        </w:rPr>
        <w:t>Annexin</w:t>
      </w:r>
      <w:proofErr w:type="spellEnd"/>
      <w:r w:rsidRPr="00FC5388">
        <w:rPr>
          <w:rFonts w:cs="Arial"/>
          <w:lang w:val="en-GB"/>
        </w:rPr>
        <w:t xml:space="preserve"> V </w:t>
      </w:r>
      <w:proofErr w:type="gramStart"/>
      <w:r w:rsidRPr="00FC5388">
        <w:rPr>
          <w:rFonts w:cs="Arial"/>
          <w:lang w:val="en-GB"/>
        </w:rPr>
        <w:t>is routinely used</w:t>
      </w:r>
      <w:proofErr w:type="gramEnd"/>
      <w:r w:rsidRPr="00FC5388">
        <w:rPr>
          <w:rFonts w:cs="Arial"/>
          <w:lang w:val="en-GB"/>
        </w:rPr>
        <w:t xml:space="preserve"> as an assay to detect apoptotic cells, no information on the functional implication of its methylation status in (ovarian) cancer has been described. </w:t>
      </w:r>
    </w:p>
    <w:p w:rsidR="000C01B2" w:rsidRDefault="000C01B2" w:rsidP="000C01B2">
      <w:pPr>
        <w:pStyle w:val="Corpsdetexte"/>
        <w:spacing w:line="480" w:lineRule="auto"/>
        <w:rPr>
          <w:rFonts w:cs="Arial"/>
          <w:lang w:val="en-GB"/>
        </w:rPr>
      </w:pPr>
      <w:proofErr w:type="gramStart"/>
      <w:r w:rsidRPr="00FC5388">
        <w:rPr>
          <w:rFonts w:cs="Arial"/>
          <w:lang w:val="en-GB"/>
        </w:rPr>
        <w:t xml:space="preserve">Taken together, these predictors indicate that immune cells infiltration and the state of the DNA repair mechanism are the most important parameters in separating our clusters, and might be linked with survival of ovarian cancer patients, as also indicated in recent literature in the general context of cancer </w:t>
      </w:r>
      <w:r>
        <w:rPr>
          <w:rFonts w:cs="Arial"/>
          <w:lang w:val="en-GB"/>
        </w:rPr>
        <w:t>{</w:t>
      </w:r>
      <w:proofErr w:type="spellStart"/>
      <w:r>
        <w:rPr>
          <w:rFonts w:cs="Arial"/>
          <w:lang w:val="en-GB"/>
        </w:rPr>
        <w:t>Gajewski</w:t>
      </w:r>
      <w:proofErr w:type="spellEnd"/>
      <w:r>
        <w:rPr>
          <w:rFonts w:cs="Arial"/>
          <w:lang w:val="en-GB"/>
        </w:rPr>
        <w:t>, 2013 #1610;Jochems, 2011 #1608}</w:t>
      </w:r>
      <w:r w:rsidRPr="00FC5388">
        <w:rPr>
          <w:rFonts w:cs="Arial"/>
          <w:lang w:val="en-GB"/>
        </w:rPr>
        <w:t xml:space="preserve">, and in ovarian carcinoma in particular, where presence of T-cell infiltration in tumours in shown to correlate </w:t>
      </w:r>
      <w:r w:rsidRPr="00FC5388">
        <w:rPr>
          <w:rFonts w:cs="Arial"/>
          <w:lang w:val="en-GB"/>
        </w:rPr>
        <w:lastRenderedPageBreak/>
        <w:t xml:space="preserve">with survival time (patients whose tumours contained T cells had a median duration of progression-free survival double than those whose tumours did not contain T cells </w:t>
      </w:r>
      <w:r>
        <w:rPr>
          <w:rFonts w:cs="Arial"/>
          <w:lang w:val="en-GB"/>
        </w:rPr>
        <w:t>{Sato, 2005 #1611;Zhang, 2003 #1613}</w:t>
      </w:r>
      <w:r w:rsidRPr="00FC5388">
        <w:rPr>
          <w:rFonts w:cs="Arial"/>
          <w:lang w:val="en-GB"/>
        </w:rPr>
        <w:t>).</w:t>
      </w:r>
      <w:proofErr w:type="gramEnd"/>
    </w:p>
    <w:p w:rsidR="000C01B2" w:rsidRPr="000C01B2" w:rsidRDefault="000C01B2">
      <w:pPr>
        <w:rPr>
          <w:lang w:val="en-GB"/>
        </w:rPr>
      </w:pPr>
      <w:bookmarkStart w:id="4" w:name="_GoBack"/>
      <w:bookmarkEnd w:id="4"/>
    </w:p>
    <w:sectPr w:rsidR="000C01B2" w:rsidRPr="000C0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40E5D"/>
    <w:multiLevelType w:val="hybridMultilevel"/>
    <w:tmpl w:val="FAF88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8C57E7"/>
    <w:multiLevelType w:val="hybridMultilevel"/>
    <w:tmpl w:val="B6B4D0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B2"/>
    <w:rsid w:val="000C01B2"/>
    <w:rsid w:val="00434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DFD4"/>
  <w15:chartTrackingRefBased/>
  <w15:docId w15:val="{FEBAA033-EA79-4AA9-9786-E670DDCA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01B2"/>
    <w:pPr>
      <w:keepNext/>
      <w:keepLines/>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0C01B2"/>
    <w:pPr>
      <w:keepNext/>
      <w:keepLines/>
      <w:spacing w:before="40" w:after="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01B2"/>
    <w:rPr>
      <w:rFonts w:asciiTheme="majorHAnsi" w:eastAsiaTheme="majorEastAsia" w:hAnsiTheme="majorHAnsi" w:cstheme="majorBidi"/>
      <w:sz w:val="32"/>
      <w:szCs w:val="32"/>
    </w:rPr>
  </w:style>
  <w:style w:type="paragraph" w:styleId="Paragraphedeliste">
    <w:name w:val="List Paragraph"/>
    <w:basedOn w:val="Normal"/>
    <w:uiPriority w:val="34"/>
    <w:qFormat/>
    <w:rsid w:val="000C01B2"/>
    <w:pPr>
      <w:ind w:left="720"/>
      <w:contextualSpacing/>
    </w:pPr>
  </w:style>
  <w:style w:type="paragraph" w:styleId="Corpsdetexte">
    <w:name w:val="Body Text"/>
    <w:basedOn w:val="Normal"/>
    <w:link w:val="CorpsdetexteCar"/>
    <w:rsid w:val="000C01B2"/>
    <w:pPr>
      <w:suppressAutoHyphens/>
      <w:spacing w:after="140" w:line="288" w:lineRule="auto"/>
      <w:jc w:val="both"/>
    </w:pPr>
    <w:rPr>
      <w:rFonts w:eastAsia="Droid Sans Fallback" w:cs="Calibri"/>
      <w:lang w:val="en-US"/>
    </w:rPr>
  </w:style>
  <w:style w:type="character" w:customStyle="1" w:styleId="CorpsdetexteCar">
    <w:name w:val="Corps de texte Car"/>
    <w:basedOn w:val="Policepardfaut"/>
    <w:link w:val="Corpsdetexte"/>
    <w:rsid w:val="000C01B2"/>
    <w:rPr>
      <w:rFonts w:eastAsia="Droid Sans Fallback" w:cs="Calibri"/>
      <w:lang w:val="en-US"/>
    </w:rPr>
  </w:style>
  <w:style w:type="paragraph" w:styleId="Lgende">
    <w:name w:val="caption"/>
    <w:basedOn w:val="Normal"/>
    <w:next w:val="Normal"/>
    <w:rsid w:val="000C01B2"/>
    <w:pPr>
      <w:suppressAutoHyphens/>
      <w:spacing w:after="200" w:line="240" w:lineRule="auto"/>
      <w:jc w:val="both"/>
    </w:pPr>
    <w:rPr>
      <w:rFonts w:eastAsia="Droid Sans Fallback" w:cs="Calibri"/>
      <w:bCs/>
      <w:sz w:val="18"/>
      <w:szCs w:val="18"/>
      <w:lang w:val="en-US"/>
    </w:rPr>
  </w:style>
  <w:style w:type="table" w:styleId="Grilledutableau">
    <w:name w:val="Table Grid"/>
    <w:basedOn w:val="TableauNormal"/>
    <w:uiPriority w:val="59"/>
    <w:rsid w:val="000C01B2"/>
    <w:pPr>
      <w:spacing w:after="0" w:line="240" w:lineRule="auto"/>
    </w:pPr>
    <w:rPr>
      <w:rFonts w:ascii="Calibri" w:eastAsia="Droid Sans Fallback"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C01B2"/>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5068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De Meulder</dc:creator>
  <cp:keywords/>
  <dc:description/>
  <cp:lastModifiedBy>Bertrand De Meulder</cp:lastModifiedBy>
  <cp:revision>1</cp:revision>
  <dcterms:created xsi:type="dcterms:W3CDTF">2017-06-16T09:11:00Z</dcterms:created>
  <dcterms:modified xsi:type="dcterms:W3CDTF">2017-06-16T09:14:00Z</dcterms:modified>
</cp:coreProperties>
</file>