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F1" w:rsidRDefault="004F45F1"/>
    <w:p w:rsidR="00E60F67" w:rsidRPr="00F16BF3" w:rsidRDefault="00E60F67" w:rsidP="00E60F67">
      <w:pPr>
        <w:jc w:val="center"/>
        <w:rPr>
          <w:b/>
          <w:sz w:val="28"/>
          <w:szCs w:val="28"/>
        </w:rPr>
      </w:pPr>
      <w:r w:rsidRPr="00F16BF3">
        <w:rPr>
          <w:b/>
          <w:sz w:val="28"/>
          <w:szCs w:val="28"/>
        </w:rPr>
        <w:t xml:space="preserve">Zika </w:t>
      </w:r>
      <w:r>
        <w:rPr>
          <w:b/>
          <w:sz w:val="28"/>
          <w:szCs w:val="28"/>
        </w:rPr>
        <w:t>V</w:t>
      </w:r>
      <w:r w:rsidRPr="00F16BF3">
        <w:rPr>
          <w:b/>
          <w:sz w:val="28"/>
          <w:szCs w:val="28"/>
        </w:rPr>
        <w:t xml:space="preserve">irus </w:t>
      </w:r>
      <w:r>
        <w:rPr>
          <w:b/>
          <w:sz w:val="28"/>
          <w:szCs w:val="28"/>
        </w:rPr>
        <w:t xml:space="preserve">Crosses an </w:t>
      </w:r>
      <w:r w:rsidRPr="00EA5695">
        <w:rPr>
          <w:b/>
          <w:i/>
          <w:sz w:val="28"/>
          <w:szCs w:val="28"/>
        </w:rPr>
        <w:t>In Vitro</w:t>
      </w:r>
      <w:r w:rsidRPr="00F16BF3">
        <w:rPr>
          <w:b/>
          <w:sz w:val="28"/>
          <w:szCs w:val="28"/>
        </w:rPr>
        <w:t xml:space="preserve"> </w:t>
      </w:r>
      <w:r>
        <w:rPr>
          <w:b/>
          <w:sz w:val="28"/>
          <w:szCs w:val="28"/>
        </w:rPr>
        <w:t>H</w:t>
      </w:r>
      <w:r w:rsidRPr="00F16BF3">
        <w:rPr>
          <w:b/>
          <w:sz w:val="28"/>
          <w:szCs w:val="28"/>
        </w:rPr>
        <w:t xml:space="preserve">uman </w:t>
      </w:r>
      <w:r>
        <w:rPr>
          <w:b/>
          <w:sz w:val="28"/>
          <w:szCs w:val="28"/>
        </w:rPr>
        <w:t>B</w:t>
      </w:r>
      <w:r w:rsidRPr="00F16BF3">
        <w:rPr>
          <w:b/>
          <w:sz w:val="28"/>
          <w:szCs w:val="28"/>
        </w:rPr>
        <w:t xml:space="preserve">lood </w:t>
      </w:r>
      <w:r>
        <w:rPr>
          <w:b/>
          <w:sz w:val="28"/>
          <w:szCs w:val="28"/>
        </w:rPr>
        <w:t>B</w:t>
      </w:r>
      <w:r w:rsidRPr="00F16BF3">
        <w:rPr>
          <w:b/>
          <w:sz w:val="28"/>
          <w:szCs w:val="28"/>
        </w:rPr>
        <w:t xml:space="preserve">rain </w:t>
      </w:r>
      <w:r>
        <w:rPr>
          <w:b/>
          <w:sz w:val="28"/>
          <w:szCs w:val="28"/>
        </w:rPr>
        <w:t>B</w:t>
      </w:r>
      <w:r w:rsidRPr="00F16BF3">
        <w:rPr>
          <w:b/>
          <w:sz w:val="28"/>
          <w:szCs w:val="28"/>
        </w:rPr>
        <w:t>arrier</w:t>
      </w:r>
      <w:r>
        <w:rPr>
          <w:b/>
          <w:sz w:val="28"/>
          <w:szCs w:val="28"/>
        </w:rPr>
        <w:t xml:space="preserve"> Model</w:t>
      </w:r>
    </w:p>
    <w:p w:rsidR="00E60F67" w:rsidRDefault="00E60F67" w:rsidP="00E60F67"/>
    <w:p w:rsidR="00E60F67" w:rsidRDefault="00E60F67" w:rsidP="00E60F67">
      <w:r>
        <w:t>Judie B. Alimonti</w:t>
      </w:r>
      <w:r w:rsidRPr="00F16BF3">
        <w:rPr>
          <w:vertAlign w:val="superscript"/>
        </w:rPr>
        <w:t>1</w:t>
      </w:r>
      <w:r>
        <w:t>, Maria Ribecco-Lutkiewicz</w:t>
      </w:r>
      <w:r w:rsidRPr="00F16BF3">
        <w:rPr>
          <w:vertAlign w:val="superscript"/>
        </w:rPr>
        <w:t>2</w:t>
      </w:r>
      <w:r>
        <w:t>, Caroline Sodja</w:t>
      </w:r>
      <w:r w:rsidRPr="00B52B12">
        <w:rPr>
          <w:vertAlign w:val="superscript"/>
        </w:rPr>
        <w:t>2</w:t>
      </w:r>
      <w:r>
        <w:t>, Anna Jezierski</w:t>
      </w:r>
      <w:r w:rsidRPr="00CB2F69">
        <w:rPr>
          <w:vertAlign w:val="superscript"/>
        </w:rPr>
        <w:t>2</w:t>
      </w:r>
      <w:r>
        <w:t>, Danica B. Stanimirovic</w:t>
      </w:r>
      <w:r w:rsidRPr="00FF4088">
        <w:rPr>
          <w:vertAlign w:val="superscript"/>
        </w:rPr>
        <w:t>2</w:t>
      </w:r>
      <w:r>
        <w:t>,  Qing Liu</w:t>
      </w:r>
      <w:r>
        <w:rPr>
          <w:vertAlign w:val="superscript"/>
        </w:rPr>
        <w:t>2</w:t>
      </w:r>
      <w:r>
        <w:t>, Arsalan S. Haqqani</w:t>
      </w:r>
      <w:r>
        <w:rPr>
          <w:vertAlign w:val="superscript"/>
        </w:rPr>
        <w:t>1</w:t>
      </w:r>
      <w:r>
        <w:t>, Wayne Conlan</w:t>
      </w:r>
      <w:r w:rsidRPr="00F16BF3">
        <w:rPr>
          <w:vertAlign w:val="superscript"/>
        </w:rPr>
        <w:t>1</w:t>
      </w:r>
      <w:r>
        <w:rPr>
          <w:vertAlign w:val="superscript"/>
        </w:rPr>
        <w:t xml:space="preserve"> </w:t>
      </w:r>
      <w:r>
        <w:t>and Mahmud Bani-Yaghoub</w:t>
      </w:r>
      <w:r w:rsidRPr="00F16BF3">
        <w:rPr>
          <w:vertAlign w:val="superscript"/>
        </w:rPr>
        <w:t>2</w:t>
      </w:r>
    </w:p>
    <w:p w:rsidR="00E60F67" w:rsidRDefault="00E60F67" w:rsidP="00E60F67">
      <w:r>
        <w:t>Human Health and Therapeutics Portfolio, National Research Council of Canada, 100 Sussex Dr.</w:t>
      </w:r>
      <w:r w:rsidRPr="00F16BF3">
        <w:rPr>
          <w:vertAlign w:val="superscript"/>
        </w:rPr>
        <w:t>1</w:t>
      </w:r>
      <w:r>
        <w:t xml:space="preserve"> or Bldg M54-1200 Montreal Rd.</w:t>
      </w:r>
      <w:r w:rsidRPr="00F16BF3">
        <w:rPr>
          <w:vertAlign w:val="superscript"/>
        </w:rPr>
        <w:t>2</w:t>
      </w:r>
      <w:r>
        <w:t xml:space="preserve">, Ottawa, Ontario, Canada  </w:t>
      </w:r>
    </w:p>
    <w:p w:rsidR="00E60F67" w:rsidRDefault="00E60F67" w:rsidP="00E60F67"/>
    <w:p w:rsidR="00E60F67" w:rsidRDefault="00E60F67" w:rsidP="00E60F67"/>
    <w:p w:rsidR="00E60F67" w:rsidRDefault="00E60F67" w:rsidP="00E60F67">
      <w:r>
        <w:t xml:space="preserve">Corresponding Author </w:t>
      </w:r>
    </w:p>
    <w:p w:rsidR="00E60F67" w:rsidRPr="00630F19" w:rsidRDefault="00E60F67" w:rsidP="00E60F67">
      <w:pPr>
        <w:spacing w:after="0"/>
        <w:rPr>
          <w:b/>
        </w:rPr>
      </w:pPr>
      <w:r>
        <w:rPr>
          <w:b/>
        </w:rPr>
        <w:t>Dr. Anna Jezierski</w:t>
      </w:r>
    </w:p>
    <w:p w:rsidR="00E60F67" w:rsidRDefault="00E60F67" w:rsidP="00E60F67">
      <w:pPr>
        <w:spacing w:after="0"/>
      </w:pPr>
      <w:r>
        <w:t>Human Health and Therapeutics Portfolio</w:t>
      </w:r>
    </w:p>
    <w:p w:rsidR="00E60F67" w:rsidRDefault="00E60F67" w:rsidP="00E60F67">
      <w:pPr>
        <w:spacing w:after="0"/>
      </w:pPr>
      <w:r>
        <w:t>National Research Council of Canada</w:t>
      </w:r>
    </w:p>
    <w:p w:rsidR="00E60F67" w:rsidRDefault="00E60F67" w:rsidP="00E60F67">
      <w:pPr>
        <w:spacing w:after="0"/>
      </w:pPr>
      <w:r>
        <w:t>1200 Montreal Road</w:t>
      </w:r>
    </w:p>
    <w:p w:rsidR="00E60F67" w:rsidRDefault="00E60F67" w:rsidP="00E60F67">
      <w:pPr>
        <w:spacing w:after="0"/>
      </w:pPr>
      <w:r>
        <w:t xml:space="preserve">Ottawa, Ontario, K1A 0R6 </w:t>
      </w:r>
    </w:p>
    <w:p w:rsidR="00E60F67" w:rsidRPr="00E60F67" w:rsidRDefault="00007DDD" w:rsidP="00E60F67">
      <w:pPr>
        <w:rPr>
          <w:color w:val="000000" w:themeColor="text1"/>
          <w:lang w:val="en-CA"/>
        </w:rPr>
      </w:pPr>
      <w:hyperlink r:id="rId5" w:history="1">
        <w:r w:rsidR="00E60F67" w:rsidRPr="00E60F67">
          <w:rPr>
            <w:rStyle w:val="Hyperlink"/>
            <w:color w:val="000000" w:themeColor="text1"/>
            <w:u w:val="none"/>
            <w:lang w:val="en-CA"/>
          </w:rPr>
          <w:t>anna.jezierski@nrc.ca</w:t>
        </w:r>
      </w:hyperlink>
    </w:p>
    <w:p w:rsidR="00E60F67" w:rsidRPr="001C70C4" w:rsidRDefault="00E60F67" w:rsidP="00E60F67">
      <w:pPr>
        <w:rPr>
          <w:lang w:val="en-CA"/>
        </w:rPr>
      </w:pPr>
    </w:p>
    <w:p w:rsidR="00E60F67" w:rsidRPr="00C00453" w:rsidRDefault="00E60F67" w:rsidP="00E60F67">
      <w:pPr>
        <w:spacing w:line="240" w:lineRule="auto"/>
        <w:rPr>
          <w:color w:val="000000" w:themeColor="text1"/>
          <w:lang w:val="en-CA"/>
        </w:rPr>
      </w:pPr>
      <w:r w:rsidRPr="00C00453">
        <w:rPr>
          <w:color w:val="000000" w:themeColor="text1"/>
          <w:lang w:val="en-CA"/>
        </w:rPr>
        <w:t>Email addresses:</w:t>
      </w:r>
    </w:p>
    <w:p w:rsidR="00E60F67" w:rsidRPr="00E60F67" w:rsidRDefault="00007DDD" w:rsidP="00E60F67">
      <w:pPr>
        <w:spacing w:line="240" w:lineRule="auto"/>
        <w:rPr>
          <w:color w:val="000000" w:themeColor="text1"/>
          <w:lang w:val="en-CA"/>
        </w:rPr>
      </w:pPr>
      <w:hyperlink r:id="rId6" w:history="1">
        <w:r w:rsidR="00E60F67" w:rsidRPr="00E60F67">
          <w:rPr>
            <w:rStyle w:val="Hyperlink"/>
            <w:color w:val="000000" w:themeColor="text1"/>
            <w:u w:val="none"/>
            <w:lang w:val="en-CA"/>
          </w:rPr>
          <w:t>judie.alimoti@nrc.ca</w:t>
        </w:r>
      </w:hyperlink>
    </w:p>
    <w:p w:rsidR="00E60F67" w:rsidRPr="00E60F67" w:rsidRDefault="00007DDD" w:rsidP="00E60F67">
      <w:pPr>
        <w:spacing w:line="240" w:lineRule="auto"/>
        <w:rPr>
          <w:color w:val="000000" w:themeColor="text1"/>
          <w:lang w:val="en-CA"/>
        </w:rPr>
      </w:pPr>
      <w:hyperlink r:id="rId7" w:history="1">
        <w:r w:rsidR="00E60F67" w:rsidRPr="00E60F67">
          <w:rPr>
            <w:rStyle w:val="Hyperlink"/>
            <w:color w:val="000000" w:themeColor="text1"/>
            <w:u w:val="none"/>
            <w:lang w:val="en-CA"/>
          </w:rPr>
          <w:t>maria.ribecco-lutkiewicz@nrc.ca</w:t>
        </w:r>
      </w:hyperlink>
    </w:p>
    <w:p w:rsidR="00E60F67" w:rsidRPr="00E60F67" w:rsidRDefault="00007DDD" w:rsidP="00E60F67">
      <w:pPr>
        <w:spacing w:line="240" w:lineRule="auto"/>
        <w:rPr>
          <w:color w:val="000000" w:themeColor="text1"/>
          <w:lang w:val="en-CA"/>
        </w:rPr>
      </w:pPr>
      <w:hyperlink r:id="rId8" w:history="1">
        <w:r w:rsidR="00E60F67" w:rsidRPr="00E60F67">
          <w:rPr>
            <w:rStyle w:val="Hyperlink"/>
            <w:color w:val="000000" w:themeColor="text1"/>
            <w:u w:val="none"/>
            <w:lang w:val="en-CA"/>
          </w:rPr>
          <w:t>caroline.sodja@nrc.ca</w:t>
        </w:r>
      </w:hyperlink>
    </w:p>
    <w:p w:rsidR="00E60F67" w:rsidRPr="00E60F67" w:rsidRDefault="00007DDD" w:rsidP="00E60F67">
      <w:pPr>
        <w:spacing w:line="240" w:lineRule="auto"/>
        <w:rPr>
          <w:rStyle w:val="Hyperlink"/>
          <w:color w:val="000000" w:themeColor="text1"/>
          <w:u w:val="none"/>
          <w:lang w:val="en-CA"/>
        </w:rPr>
      </w:pPr>
      <w:hyperlink r:id="rId9" w:history="1">
        <w:r w:rsidR="00E60F67" w:rsidRPr="00E60F67">
          <w:rPr>
            <w:rStyle w:val="Hyperlink"/>
            <w:color w:val="000000" w:themeColor="text1"/>
            <w:u w:val="none"/>
            <w:lang w:val="en-CA"/>
          </w:rPr>
          <w:t>danica.stanimirovic@nrc.ca</w:t>
        </w:r>
      </w:hyperlink>
    </w:p>
    <w:p w:rsidR="00E60F67" w:rsidRPr="00E60F67" w:rsidRDefault="00007DDD" w:rsidP="00E60F67">
      <w:pPr>
        <w:spacing w:line="240" w:lineRule="auto"/>
        <w:rPr>
          <w:rStyle w:val="Hyperlink"/>
          <w:color w:val="000000" w:themeColor="text1"/>
          <w:u w:val="none"/>
          <w:lang w:val="en-CA"/>
        </w:rPr>
      </w:pPr>
      <w:hyperlink r:id="rId10" w:history="1">
        <w:r w:rsidR="00E60F67" w:rsidRPr="00E60F67">
          <w:rPr>
            <w:rStyle w:val="Hyperlink"/>
            <w:color w:val="000000" w:themeColor="text1"/>
            <w:u w:val="none"/>
            <w:lang w:val="en-CA"/>
          </w:rPr>
          <w:t>qing.liu@nrc.ca</w:t>
        </w:r>
      </w:hyperlink>
    </w:p>
    <w:p w:rsidR="00E60F67" w:rsidRPr="00E60F67" w:rsidRDefault="00E60F67" w:rsidP="00E60F67">
      <w:pPr>
        <w:spacing w:line="240" w:lineRule="auto"/>
        <w:rPr>
          <w:color w:val="000000" w:themeColor="text1"/>
          <w:lang w:val="en-CA"/>
        </w:rPr>
      </w:pPr>
      <w:r w:rsidRPr="00E60F67">
        <w:rPr>
          <w:rStyle w:val="Hyperlink"/>
          <w:color w:val="000000" w:themeColor="text1"/>
          <w:u w:val="none"/>
          <w:lang w:val="en-CA"/>
        </w:rPr>
        <w:t>arsalan.haqqani@nrc.ca</w:t>
      </w:r>
    </w:p>
    <w:p w:rsidR="00E60F67" w:rsidRPr="00E60F67" w:rsidRDefault="00007DDD" w:rsidP="00E60F67">
      <w:pPr>
        <w:spacing w:line="240" w:lineRule="auto"/>
        <w:rPr>
          <w:color w:val="000000" w:themeColor="text1"/>
          <w:lang w:val="en-CA"/>
        </w:rPr>
      </w:pPr>
      <w:hyperlink r:id="rId11" w:history="1">
        <w:r w:rsidR="00E60F67" w:rsidRPr="00E60F67">
          <w:rPr>
            <w:rStyle w:val="Hyperlink"/>
            <w:color w:val="000000" w:themeColor="text1"/>
            <w:u w:val="none"/>
            <w:lang w:val="en-CA"/>
          </w:rPr>
          <w:t>wayne.conlan@nrc.ca</w:t>
        </w:r>
      </w:hyperlink>
      <w:r w:rsidR="00E60F67" w:rsidRPr="00E60F67">
        <w:rPr>
          <w:color w:val="000000" w:themeColor="text1"/>
          <w:lang w:val="en-CA"/>
        </w:rPr>
        <w:t xml:space="preserve"> </w:t>
      </w:r>
    </w:p>
    <w:p w:rsidR="00E60F67" w:rsidRPr="00FE002C" w:rsidRDefault="00E60F67" w:rsidP="00E60F67">
      <w:pPr>
        <w:rPr>
          <w:color w:val="000000" w:themeColor="text1"/>
          <w:lang w:val="en-CA"/>
        </w:rPr>
      </w:pPr>
      <w:r w:rsidRPr="00FE002C">
        <w:rPr>
          <w:color w:val="000000" w:themeColor="text1"/>
          <w:lang w:val="en-CA"/>
        </w:rPr>
        <w:t>mahmud.bani-yaghoub@nrc.ca</w:t>
      </w:r>
    </w:p>
    <w:p w:rsidR="00E60F67" w:rsidRDefault="00E60F67">
      <w:pPr>
        <w:rPr>
          <w:b/>
        </w:rPr>
      </w:pPr>
    </w:p>
    <w:p w:rsidR="00E60F67" w:rsidRDefault="00E60F67">
      <w:pPr>
        <w:rPr>
          <w:b/>
        </w:rPr>
      </w:pPr>
    </w:p>
    <w:p w:rsidR="00E60F67" w:rsidRDefault="00E60F67">
      <w:pPr>
        <w:rPr>
          <w:b/>
        </w:rPr>
      </w:pPr>
    </w:p>
    <w:p w:rsidR="00955D5E" w:rsidRPr="004F45F1" w:rsidRDefault="001F76D8">
      <w:pPr>
        <w:rPr>
          <w:b/>
        </w:rPr>
      </w:pPr>
      <w:r>
        <w:rPr>
          <w:b/>
        </w:rPr>
        <w:lastRenderedPageBreak/>
        <w:t xml:space="preserve">Additional </w:t>
      </w:r>
      <w:r w:rsidR="004F45F1" w:rsidRPr="004F45F1">
        <w:rPr>
          <w:b/>
        </w:rPr>
        <w:t>Figures</w:t>
      </w:r>
    </w:p>
    <w:p w:rsidR="004F45F1" w:rsidRDefault="004F45F1">
      <w:r>
        <w:t xml:space="preserve">Figure </w:t>
      </w:r>
      <w:r w:rsidR="001F76D8">
        <w:t>S</w:t>
      </w:r>
      <w:r>
        <w:t>1</w:t>
      </w:r>
    </w:p>
    <w:p w:rsidR="004F45F1" w:rsidRDefault="004F45F1">
      <w:r>
        <w:rPr>
          <w:noProof/>
        </w:rPr>
        <w:drawing>
          <wp:inline distT="0" distB="0" distL="0" distR="0">
            <wp:extent cx="3060192" cy="30022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192" cy="3002280"/>
                    </a:xfrm>
                    <a:prstGeom prst="rect">
                      <a:avLst/>
                    </a:prstGeom>
                  </pic:spPr>
                </pic:pic>
              </a:graphicData>
            </a:graphic>
          </wp:inline>
        </w:drawing>
      </w:r>
    </w:p>
    <w:p w:rsidR="004F45F1" w:rsidRPr="008F5B86" w:rsidRDefault="004F45F1" w:rsidP="004F45F1">
      <w:pPr>
        <w:spacing w:line="240" w:lineRule="auto"/>
      </w:pPr>
      <w:r>
        <w:rPr>
          <w:b/>
        </w:rPr>
        <w:t>Fig</w:t>
      </w:r>
      <w:r w:rsidR="001F76D8">
        <w:rPr>
          <w:b/>
        </w:rPr>
        <w:t>ure</w:t>
      </w:r>
      <w:r>
        <w:rPr>
          <w:b/>
        </w:rPr>
        <w:t xml:space="preserve"> S</w:t>
      </w:r>
      <w:r w:rsidRPr="00BF70EB">
        <w:rPr>
          <w:b/>
        </w:rPr>
        <w:t>1</w:t>
      </w:r>
      <w:r>
        <w:t xml:space="preserve">: </w:t>
      </w:r>
      <w:r w:rsidRPr="00AD3D4C">
        <w:rPr>
          <w:i/>
        </w:rPr>
        <w:t>Schematic of the</w:t>
      </w:r>
      <w:r>
        <w:t xml:space="preserve"> </w:t>
      </w:r>
      <w:r>
        <w:rPr>
          <w:i/>
        </w:rPr>
        <w:t xml:space="preserve">iPSC-derived </w:t>
      </w:r>
      <w:r w:rsidRPr="00A44B5C">
        <w:rPr>
          <w:i/>
        </w:rPr>
        <w:t>Blood-brain barrier (</w:t>
      </w:r>
      <w:r w:rsidRPr="008F5B86">
        <w:rPr>
          <w:i/>
        </w:rPr>
        <w:t>BBB</w:t>
      </w:r>
      <w:r>
        <w:rPr>
          <w:i/>
        </w:rPr>
        <w:t>)</w:t>
      </w:r>
      <w:r w:rsidRPr="008F5B86">
        <w:rPr>
          <w:i/>
        </w:rPr>
        <w:t xml:space="preserve"> </w:t>
      </w:r>
      <w:r>
        <w:rPr>
          <w:i/>
        </w:rPr>
        <w:t xml:space="preserve">Transwell </w:t>
      </w:r>
      <w:r w:rsidRPr="008F5B86">
        <w:rPr>
          <w:i/>
        </w:rPr>
        <w:t>model</w:t>
      </w:r>
      <w:r>
        <w:rPr>
          <w:i/>
        </w:rPr>
        <w:t>.</w:t>
      </w:r>
      <w:r>
        <w:t xml:space="preserve"> Human brain endothelial cells (iBECs) that make up the BBB, as well as neural progenitor cells </w:t>
      </w:r>
      <w:r w:rsidR="00E60F67">
        <w:t>(iNP</w:t>
      </w:r>
      <w:r>
        <w:t xml:space="preserve">s) and neurons (iNs), were differentiated from amniotic fluid cell derived induced pluripotent stem cells (iPSCs).  The iBECs were cultured on Transwell inserts to form an intact, impermeable BBB monolayer. The inserts were then placed into a 12-well </w:t>
      </w:r>
      <w:r w:rsidR="00E60F67">
        <w:t>companion plate containing iNP</w:t>
      </w:r>
      <w:r>
        <w:t>s. ZIKV permeability across the iBEC monolayer was assessed by adding virus into the upper (apical/luminal) compartment of the Transwell insert.  If ZIKV was able to cross the BBB, than virus would be present in the bottom (basal/abluminal) fluid compartment between the two cellular compartment</w:t>
      </w:r>
      <w:r w:rsidR="00E60F67">
        <w:t>s enabling infection of the iNP</w:t>
      </w:r>
      <w:r>
        <w:t xml:space="preserve">s in the companion plate.  </w:t>
      </w:r>
    </w:p>
    <w:p w:rsidR="004F45F1" w:rsidRDefault="007464FF">
      <w:r>
        <w:t xml:space="preserve">Figure </w:t>
      </w:r>
      <w:r w:rsidR="001F76D8">
        <w:t>S</w:t>
      </w:r>
      <w:r>
        <w:t>2</w:t>
      </w:r>
    </w:p>
    <w:p w:rsidR="004F45F1" w:rsidRDefault="007464FF" w:rsidP="004F45F1">
      <w:r>
        <w:rPr>
          <w:noProof/>
        </w:rPr>
        <w:drawing>
          <wp:inline distT="0" distB="0" distL="0" distR="0">
            <wp:extent cx="5943600" cy="2393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western blots.t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393315"/>
                    </a:xfrm>
                    <a:prstGeom prst="rect">
                      <a:avLst/>
                    </a:prstGeom>
                  </pic:spPr>
                </pic:pic>
              </a:graphicData>
            </a:graphic>
          </wp:inline>
        </w:drawing>
      </w:r>
    </w:p>
    <w:p w:rsidR="00CA7E17" w:rsidRDefault="00CA7E17" w:rsidP="00CA7E17">
      <w:r w:rsidRPr="007464FF">
        <w:rPr>
          <w:b/>
        </w:rPr>
        <w:lastRenderedPageBreak/>
        <w:t>Fig</w:t>
      </w:r>
      <w:r w:rsidR="001F76D8">
        <w:rPr>
          <w:b/>
        </w:rPr>
        <w:t>ure</w:t>
      </w:r>
      <w:r w:rsidRPr="007464FF">
        <w:rPr>
          <w:b/>
        </w:rPr>
        <w:t xml:space="preserve"> S2</w:t>
      </w:r>
      <w:r>
        <w:t xml:space="preserve">: </w:t>
      </w:r>
      <w:r w:rsidRPr="007464FF">
        <w:rPr>
          <w:i/>
        </w:rPr>
        <w:t>Original Western blot scan.</w:t>
      </w:r>
    </w:p>
    <w:p w:rsidR="004F45F1" w:rsidRDefault="00CA7E17">
      <w:r>
        <w:t>Original scan of Western blots for anti-flavivirus (Millipore), anti-AXL (Cell Signaling) and anti ACTIN (BioRad)</w:t>
      </w:r>
      <w:bookmarkStart w:id="0" w:name="_GoBack"/>
      <w:bookmarkEnd w:id="0"/>
      <w:r>
        <w:t xml:space="preserve"> followed by HRP-conjugated secondary antibodies.</w:t>
      </w:r>
    </w:p>
    <w:sectPr w:rsidR="004F45F1" w:rsidSect="00007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F45F1"/>
    <w:rsid w:val="00007DDD"/>
    <w:rsid w:val="00022CF5"/>
    <w:rsid w:val="001F76D8"/>
    <w:rsid w:val="004F45F1"/>
    <w:rsid w:val="005D6D90"/>
    <w:rsid w:val="007464FF"/>
    <w:rsid w:val="00B03C1F"/>
    <w:rsid w:val="00CA7E17"/>
    <w:rsid w:val="00E60F67"/>
    <w:rsid w:val="00E94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F1"/>
    <w:rPr>
      <w:rFonts w:ascii="Tahoma" w:hAnsi="Tahoma" w:cs="Tahoma"/>
      <w:sz w:val="16"/>
      <w:szCs w:val="16"/>
    </w:rPr>
  </w:style>
  <w:style w:type="table" w:styleId="TableGrid">
    <w:name w:val="Table Grid"/>
    <w:basedOn w:val="TableNormal"/>
    <w:uiPriority w:val="59"/>
    <w:rsid w:val="004F45F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45F1"/>
    <w:rPr>
      <w:sz w:val="16"/>
      <w:szCs w:val="16"/>
    </w:rPr>
  </w:style>
  <w:style w:type="paragraph" w:styleId="CommentText">
    <w:name w:val="annotation text"/>
    <w:basedOn w:val="Normal"/>
    <w:link w:val="CommentTextChar"/>
    <w:uiPriority w:val="99"/>
    <w:semiHidden/>
    <w:unhideWhenUsed/>
    <w:rsid w:val="004F45F1"/>
    <w:pPr>
      <w:spacing w:line="240" w:lineRule="auto"/>
    </w:pPr>
    <w:rPr>
      <w:sz w:val="20"/>
      <w:szCs w:val="20"/>
    </w:rPr>
  </w:style>
  <w:style w:type="character" w:customStyle="1" w:styleId="CommentTextChar">
    <w:name w:val="Comment Text Char"/>
    <w:basedOn w:val="DefaultParagraphFont"/>
    <w:link w:val="CommentText"/>
    <w:uiPriority w:val="99"/>
    <w:semiHidden/>
    <w:rsid w:val="004F45F1"/>
    <w:rPr>
      <w:sz w:val="20"/>
      <w:szCs w:val="20"/>
    </w:rPr>
  </w:style>
  <w:style w:type="character" w:styleId="Hyperlink">
    <w:name w:val="Hyperlink"/>
    <w:basedOn w:val="DefaultParagraphFont"/>
    <w:uiPriority w:val="99"/>
    <w:unhideWhenUsed/>
    <w:rsid w:val="00E60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F1"/>
    <w:rPr>
      <w:rFonts w:ascii="Tahoma" w:hAnsi="Tahoma" w:cs="Tahoma"/>
      <w:sz w:val="16"/>
      <w:szCs w:val="16"/>
    </w:rPr>
  </w:style>
  <w:style w:type="table" w:styleId="TableGrid">
    <w:name w:val="Table Grid"/>
    <w:basedOn w:val="TableNormal"/>
    <w:uiPriority w:val="59"/>
    <w:rsid w:val="004F45F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5F1"/>
    <w:rPr>
      <w:sz w:val="16"/>
      <w:szCs w:val="16"/>
    </w:rPr>
  </w:style>
  <w:style w:type="paragraph" w:styleId="CommentText">
    <w:name w:val="annotation text"/>
    <w:basedOn w:val="Normal"/>
    <w:link w:val="CommentTextChar"/>
    <w:uiPriority w:val="99"/>
    <w:semiHidden/>
    <w:unhideWhenUsed/>
    <w:rsid w:val="004F45F1"/>
    <w:pPr>
      <w:spacing w:line="240" w:lineRule="auto"/>
    </w:pPr>
    <w:rPr>
      <w:sz w:val="20"/>
      <w:szCs w:val="20"/>
    </w:rPr>
  </w:style>
  <w:style w:type="character" w:customStyle="1" w:styleId="CommentTextChar">
    <w:name w:val="Comment Text Char"/>
    <w:basedOn w:val="DefaultParagraphFont"/>
    <w:link w:val="CommentText"/>
    <w:uiPriority w:val="99"/>
    <w:semiHidden/>
    <w:rsid w:val="004F45F1"/>
    <w:rPr>
      <w:sz w:val="20"/>
      <w:szCs w:val="20"/>
    </w:rPr>
  </w:style>
  <w:style w:type="character" w:styleId="Hyperlink">
    <w:name w:val="Hyperlink"/>
    <w:basedOn w:val="DefaultParagraphFont"/>
    <w:uiPriority w:val="99"/>
    <w:unhideWhenUsed/>
    <w:rsid w:val="00E60F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sodja@nrc.ca" TargetMode="Externa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yperlink" Target="mailto:maria.ribecco-lutkiewicz@nrc.ca" TargetMode="External"/><Relationship Id="rId12" Type="http://schemas.openxmlformats.org/officeDocument/2006/relationships/image" Target="media/image1.tif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judie.alimoti@nrc.ca" TargetMode="External"/><Relationship Id="rId11" Type="http://schemas.openxmlformats.org/officeDocument/2006/relationships/hyperlink" Target="mailto:wayne.conlan@nrc.ca" TargetMode="External"/><Relationship Id="rId5" Type="http://schemas.openxmlformats.org/officeDocument/2006/relationships/hyperlink" Target="mailto:anna.jezierski@nrc.ca" TargetMode="External"/><Relationship Id="rId15" Type="http://schemas.openxmlformats.org/officeDocument/2006/relationships/theme" Target="theme/theme1.xml"/><Relationship Id="rId10" Type="http://schemas.openxmlformats.org/officeDocument/2006/relationships/hyperlink" Target="mailto:qing.liu@nrc.ca" TargetMode="External"/><Relationship Id="rId4" Type="http://schemas.openxmlformats.org/officeDocument/2006/relationships/webSettings" Target="webSettings.xml"/><Relationship Id="rId9" Type="http://schemas.openxmlformats.org/officeDocument/2006/relationships/hyperlink" Target="mailto:danica.stanimirovic@nr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8D1D-381B-4FDA-B566-44EF1E1B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Jezierski, Anna</dc:creator>
  <cp:lastModifiedBy>0013434</cp:lastModifiedBy>
  <cp:revision>4</cp:revision>
  <dcterms:created xsi:type="dcterms:W3CDTF">2018-04-12T15:45:00Z</dcterms:created>
  <dcterms:modified xsi:type="dcterms:W3CDTF">2018-04-30T15:00:00Z</dcterms:modified>
</cp:coreProperties>
</file>