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B3" w:rsidRDefault="00D836B3" w:rsidP="00D836B3">
      <w:pPr>
        <w:spacing w:after="0" w:line="480" w:lineRule="auto"/>
        <w:jc w:val="both"/>
        <w:rPr>
          <w:rFonts w:ascii="Times New Roman" w:hAnsi="Times New Roman"/>
          <w:b/>
          <w:i/>
          <w:sz w:val="24"/>
          <w:szCs w:val="24"/>
          <w:lang w:val="en-GB"/>
        </w:rPr>
      </w:pPr>
      <w:proofErr w:type="gramStart"/>
      <w:r w:rsidRPr="00375758">
        <w:rPr>
          <w:rFonts w:ascii="Times New Roman" w:hAnsi="Times New Roman"/>
          <w:b/>
          <w:sz w:val="24"/>
          <w:szCs w:val="24"/>
          <w:lang w:val="en-GB"/>
        </w:rPr>
        <w:t>Additional File 2.</w:t>
      </w:r>
      <w:proofErr w:type="gramEnd"/>
      <w:r w:rsidRPr="00375758">
        <w:rPr>
          <w:rFonts w:ascii="Times New Roman" w:hAnsi="Times New Roman"/>
          <w:b/>
          <w:sz w:val="24"/>
          <w:szCs w:val="24"/>
          <w:lang w:val="en-GB"/>
        </w:rPr>
        <w:t xml:space="preserve"> Information of baseline conditions used for the </w:t>
      </w:r>
      <w:r w:rsidRPr="00375758">
        <w:rPr>
          <w:rFonts w:ascii="Times New Roman" w:hAnsi="Times New Roman"/>
          <w:b/>
          <w:sz w:val="24"/>
          <w:lang w:val="en-GB"/>
        </w:rPr>
        <w:t>in vitro</w:t>
      </w:r>
      <w:r w:rsidRPr="00375758">
        <w:rPr>
          <w:rFonts w:ascii="Times New Roman" w:hAnsi="Times New Roman"/>
          <w:b/>
          <w:sz w:val="24"/>
          <w:szCs w:val="24"/>
          <w:lang w:val="en-GB"/>
        </w:rPr>
        <w:t xml:space="preserve"> seed germination</w:t>
      </w:r>
      <w:r w:rsidRPr="00375758">
        <w:rPr>
          <w:rFonts w:ascii="Times New Roman" w:hAnsi="Times New Roman"/>
          <w:b/>
          <w:lang w:val="en-US"/>
        </w:rPr>
        <w:t xml:space="preserve"> </w:t>
      </w:r>
      <w:r w:rsidRPr="00375758">
        <w:rPr>
          <w:rFonts w:ascii="Times New Roman" w:hAnsi="Times New Roman"/>
          <w:b/>
          <w:sz w:val="24"/>
          <w:szCs w:val="24"/>
          <w:lang w:val="en-GB"/>
        </w:rPr>
        <w:t xml:space="preserve">analysis performed in the </w:t>
      </w:r>
      <w:r w:rsidRPr="00375758">
        <w:rPr>
          <w:rFonts w:ascii="Times New Roman" w:hAnsi="Times New Roman"/>
          <w:b/>
          <w:i/>
          <w:sz w:val="24"/>
          <w:szCs w:val="24"/>
          <w:lang w:val="en-GB"/>
        </w:rPr>
        <w:t xml:space="preserve">L. </w:t>
      </w:r>
      <w:proofErr w:type="spellStart"/>
      <w:r w:rsidRPr="00375758">
        <w:rPr>
          <w:rFonts w:ascii="Times New Roman" w:hAnsi="Times New Roman"/>
          <w:b/>
          <w:i/>
          <w:sz w:val="24"/>
          <w:szCs w:val="24"/>
          <w:lang w:val="en-GB"/>
        </w:rPr>
        <w:t>ovallei</w:t>
      </w:r>
      <w:proofErr w:type="spellEnd"/>
      <w:r w:rsidRPr="00375758">
        <w:rPr>
          <w:rFonts w:ascii="Times New Roman" w:hAnsi="Times New Roman"/>
          <w:b/>
          <w:sz w:val="24"/>
          <w:szCs w:val="24"/>
          <w:lang w:val="en-GB"/>
        </w:rPr>
        <w:t xml:space="preserve"> seeds.</w:t>
      </w:r>
      <w:r w:rsidRPr="00D836B3">
        <w:rPr>
          <w:rFonts w:ascii="Times New Roman" w:hAnsi="Times New Roman"/>
          <w:b/>
          <w:i/>
          <w:sz w:val="24"/>
          <w:szCs w:val="24"/>
          <w:lang w:val="en-GB"/>
        </w:rPr>
        <w:t xml:space="preserve"> </w:t>
      </w:r>
    </w:p>
    <w:p w:rsidR="00375758" w:rsidRPr="00375758" w:rsidRDefault="00375758" w:rsidP="00D836B3">
      <w:pPr>
        <w:spacing w:after="0" w:line="480" w:lineRule="auto"/>
        <w:jc w:val="both"/>
        <w:rPr>
          <w:rFonts w:ascii="Times New Roman" w:hAnsi="Times New Roman"/>
          <w:i/>
          <w:sz w:val="24"/>
          <w:szCs w:val="24"/>
          <w:lang w:val="en-GB"/>
        </w:rPr>
      </w:pPr>
      <w:bookmarkStart w:id="0" w:name="_GoBack"/>
      <w:bookmarkEnd w:id="0"/>
    </w:p>
    <w:p w:rsidR="00D836B3" w:rsidRPr="00D836B3" w:rsidRDefault="00D836B3" w:rsidP="00D836B3">
      <w:pPr>
        <w:spacing w:after="0" w:line="480" w:lineRule="auto"/>
        <w:jc w:val="both"/>
        <w:rPr>
          <w:rFonts w:ascii="Times New Roman" w:hAnsi="Times New Roman"/>
          <w:sz w:val="24"/>
          <w:szCs w:val="24"/>
          <w:lang w:val="en-GB"/>
        </w:rPr>
      </w:pPr>
      <w:r w:rsidRPr="00D836B3">
        <w:rPr>
          <w:rFonts w:ascii="Times New Roman" w:hAnsi="Times New Roman"/>
          <w:sz w:val="24"/>
          <w:szCs w:val="24"/>
          <w:lang w:val="en-GB"/>
        </w:rPr>
        <w:t>At the very beginning of this study, the following baseline conditions were tested: (1) two growth media (</w:t>
      </w:r>
      <w:proofErr w:type="spellStart"/>
      <w:r w:rsidRPr="00D836B3">
        <w:rPr>
          <w:rFonts w:ascii="Times New Roman" w:hAnsi="Times New Roman"/>
          <w:sz w:val="24"/>
          <w:szCs w:val="24"/>
          <w:lang w:val="en-GB"/>
        </w:rPr>
        <w:t>Murashige</w:t>
      </w:r>
      <w:proofErr w:type="spellEnd"/>
      <w:r w:rsidRPr="00D836B3">
        <w:rPr>
          <w:rFonts w:ascii="Times New Roman" w:hAnsi="Times New Roman"/>
          <w:sz w:val="24"/>
          <w:szCs w:val="24"/>
          <w:lang w:val="en-GB"/>
        </w:rPr>
        <w:t xml:space="preserve"> &amp; Skoog [1], and </w:t>
      </w:r>
      <w:proofErr w:type="spellStart"/>
      <w:r w:rsidRPr="00D836B3">
        <w:rPr>
          <w:rFonts w:ascii="Times New Roman" w:hAnsi="Times New Roman"/>
          <w:sz w:val="24"/>
          <w:szCs w:val="24"/>
          <w:lang w:val="en-GB"/>
        </w:rPr>
        <w:t>Gamborg</w:t>
      </w:r>
      <w:proofErr w:type="spellEnd"/>
      <w:r w:rsidRPr="00D836B3">
        <w:rPr>
          <w:rFonts w:ascii="Times New Roman" w:hAnsi="Times New Roman"/>
          <w:sz w:val="24"/>
          <w:szCs w:val="24"/>
          <w:lang w:val="en-GB"/>
        </w:rPr>
        <w:t xml:space="preserve"> B5 [2], each with or without activated carbon [3]), (2) three pH levels (5.8, 7.0, 9.0), (3) two incubation temperatures (21° and 30°C), (4) light conditions (with and without), (5) two temperature of stratification (cold and 21°C ± 3°C), (6) two seed disinfection types with ethanol (70% for 3, 5 and 10 min) and </w:t>
      </w:r>
      <w:proofErr w:type="spellStart"/>
      <w:r w:rsidRPr="00D836B3">
        <w:rPr>
          <w:rFonts w:ascii="Times New Roman" w:hAnsi="Times New Roman"/>
          <w:sz w:val="24"/>
          <w:szCs w:val="24"/>
          <w:lang w:val="en-GB"/>
        </w:rPr>
        <w:t>NaClO</w:t>
      </w:r>
      <w:proofErr w:type="spellEnd"/>
      <w:r w:rsidRPr="00D836B3">
        <w:rPr>
          <w:rFonts w:ascii="Times New Roman" w:hAnsi="Times New Roman"/>
          <w:sz w:val="24"/>
          <w:szCs w:val="24"/>
          <w:lang w:val="en-GB"/>
        </w:rPr>
        <w:t xml:space="preserve"> (2% for 5, 10 and 15 min ), (7) chemical scarification with H</w:t>
      </w:r>
      <w:r w:rsidRPr="00D836B3">
        <w:rPr>
          <w:rFonts w:ascii="Times New Roman" w:hAnsi="Times New Roman"/>
          <w:sz w:val="24"/>
          <w:szCs w:val="24"/>
          <w:vertAlign w:val="subscript"/>
          <w:lang w:val="en-GB"/>
        </w:rPr>
        <w:t>2</w:t>
      </w:r>
      <w:r w:rsidRPr="00D836B3">
        <w:rPr>
          <w:rFonts w:ascii="Times New Roman" w:hAnsi="Times New Roman"/>
          <w:sz w:val="24"/>
          <w:szCs w:val="24"/>
          <w:lang w:val="en-GB"/>
        </w:rPr>
        <w:t>SO</w:t>
      </w:r>
      <w:r w:rsidRPr="00D836B3">
        <w:rPr>
          <w:rFonts w:ascii="Times New Roman" w:hAnsi="Times New Roman"/>
          <w:sz w:val="24"/>
          <w:szCs w:val="24"/>
          <w:vertAlign w:val="subscript"/>
          <w:lang w:val="en-GB"/>
        </w:rPr>
        <w:t>4</w:t>
      </w:r>
      <w:r w:rsidRPr="00D836B3">
        <w:rPr>
          <w:rFonts w:ascii="Times New Roman" w:hAnsi="Times New Roman"/>
          <w:sz w:val="24"/>
          <w:szCs w:val="24"/>
          <w:lang w:val="en-GB"/>
        </w:rPr>
        <w:t xml:space="preserve"> (at 3, 5 and 10 min) and  imbibition in Gibberellic Acid (GA</w:t>
      </w:r>
      <w:r w:rsidRPr="00D836B3">
        <w:rPr>
          <w:rFonts w:ascii="Times New Roman" w:hAnsi="Times New Roman"/>
          <w:sz w:val="24"/>
          <w:szCs w:val="24"/>
          <w:vertAlign w:val="subscript"/>
          <w:lang w:val="en-GB"/>
        </w:rPr>
        <w:t>3</w:t>
      </w:r>
      <w:r w:rsidRPr="00D836B3">
        <w:rPr>
          <w:rFonts w:ascii="Times New Roman" w:hAnsi="Times New Roman"/>
          <w:sz w:val="24"/>
          <w:szCs w:val="24"/>
          <w:lang w:val="en-GB"/>
        </w:rPr>
        <w:t xml:space="preserve">, 24 and 48h of imbibition times), (8) two mechanical scarification (sandpaper (1 min) and cuts in seed coat (1 cut)), (9) thermic stratification with hot water (1 and 3 min) and (10) imbibition in tap water (24 and 48 h). This strategy resulted in 30 treatments, and more than 4000 seeds were tested (see Supplemental Table 1). Each treatment was tested on 10 seeds per plate and 10 plates as replicates. Percentage of germination was evaluated after 30 days in all treatments. In those treatments where germination was detected (always less to 5 %), those variables were used to reaches a consensus media. That was called a "BASE" culture media, and it was over this culture media that </w:t>
      </w:r>
      <w:r w:rsidRPr="00D836B3">
        <w:rPr>
          <w:rFonts w:ascii="Times New Roman" w:hAnsi="Times New Roman"/>
          <w:i/>
          <w:sz w:val="24"/>
          <w:szCs w:val="24"/>
          <w:lang w:val="en-GB"/>
        </w:rPr>
        <w:t xml:space="preserve">L. </w:t>
      </w:r>
      <w:proofErr w:type="spellStart"/>
      <w:r w:rsidRPr="00D836B3">
        <w:rPr>
          <w:rFonts w:ascii="Times New Roman" w:hAnsi="Times New Roman"/>
          <w:i/>
          <w:sz w:val="24"/>
          <w:szCs w:val="24"/>
          <w:lang w:val="en-GB"/>
        </w:rPr>
        <w:t>ovallei</w:t>
      </w:r>
      <w:proofErr w:type="spellEnd"/>
      <w:r w:rsidRPr="00D836B3">
        <w:rPr>
          <w:rFonts w:ascii="Times New Roman" w:hAnsi="Times New Roman"/>
          <w:sz w:val="24"/>
          <w:szCs w:val="24"/>
          <w:lang w:val="en-GB"/>
        </w:rPr>
        <w:t xml:space="preserve"> seeds were sowed for the final five pre-sowing treatments.  </w:t>
      </w:r>
    </w:p>
    <w:p w:rsidR="00D836B3" w:rsidRPr="00D836B3" w:rsidRDefault="00D836B3" w:rsidP="00D836B3">
      <w:pPr>
        <w:spacing w:after="0" w:line="480" w:lineRule="auto"/>
        <w:jc w:val="both"/>
        <w:rPr>
          <w:rFonts w:ascii="Times New Roman" w:hAnsi="Times New Roman"/>
          <w:sz w:val="24"/>
          <w:szCs w:val="24"/>
          <w:lang w:val="en-GB"/>
        </w:rPr>
      </w:pPr>
      <w:r w:rsidRPr="00D836B3">
        <w:rPr>
          <w:rFonts w:ascii="Times New Roman" w:hAnsi="Times New Roman"/>
          <w:sz w:val="24"/>
          <w:szCs w:val="24"/>
          <w:lang w:val="en-GB"/>
        </w:rPr>
        <w:t xml:space="preserve">[1] </w:t>
      </w:r>
      <w:proofErr w:type="spellStart"/>
      <w:r w:rsidRPr="00D836B3">
        <w:rPr>
          <w:rFonts w:ascii="Times New Roman" w:hAnsi="Times New Roman"/>
          <w:sz w:val="24"/>
          <w:szCs w:val="24"/>
          <w:lang w:val="en-GB"/>
        </w:rPr>
        <w:t>Murashige</w:t>
      </w:r>
      <w:proofErr w:type="spellEnd"/>
      <w:r w:rsidRPr="00D836B3">
        <w:rPr>
          <w:rFonts w:ascii="Times New Roman" w:hAnsi="Times New Roman"/>
          <w:sz w:val="24"/>
          <w:szCs w:val="24"/>
          <w:lang w:val="en-GB"/>
        </w:rPr>
        <w:t xml:space="preserve"> T, Skoog F. A revised medium for rapid growth and bio assays with tobacco tissue cultures. </w:t>
      </w:r>
      <w:proofErr w:type="spellStart"/>
      <w:r w:rsidRPr="00D836B3">
        <w:rPr>
          <w:rFonts w:ascii="Times New Roman" w:hAnsi="Times New Roman"/>
          <w:sz w:val="24"/>
          <w:szCs w:val="24"/>
          <w:lang w:val="en-GB"/>
        </w:rPr>
        <w:t>Physiol</w:t>
      </w:r>
      <w:proofErr w:type="spellEnd"/>
      <w:r w:rsidRPr="00D836B3">
        <w:rPr>
          <w:rFonts w:ascii="Times New Roman" w:hAnsi="Times New Roman"/>
          <w:sz w:val="24"/>
          <w:szCs w:val="24"/>
          <w:lang w:val="en-GB"/>
        </w:rPr>
        <w:t xml:space="preserve"> Plant. 1962</w:t>
      </w:r>
      <w:proofErr w:type="gramStart"/>
      <w:r w:rsidRPr="00D836B3">
        <w:rPr>
          <w:rFonts w:ascii="Times New Roman" w:hAnsi="Times New Roman"/>
          <w:sz w:val="24"/>
          <w:szCs w:val="24"/>
          <w:lang w:val="en-GB"/>
        </w:rPr>
        <w:t>,15:473</w:t>
      </w:r>
      <w:proofErr w:type="gramEnd"/>
      <w:r w:rsidRPr="00D836B3">
        <w:rPr>
          <w:rFonts w:ascii="Times New Roman" w:hAnsi="Times New Roman"/>
          <w:sz w:val="24"/>
          <w:szCs w:val="24"/>
          <w:lang w:val="en-GB"/>
        </w:rPr>
        <w:t>-497</w:t>
      </w:r>
    </w:p>
    <w:p w:rsidR="00D836B3" w:rsidRDefault="00D836B3" w:rsidP="00D836B3">
      <w:pPr>
        <w:spacing w:after="0" w:line="480" w:lineRule="auto"/>
        <w:jc w:val="both"/>
        <w:rPr>
          <w:rFonts w:ascii="Times New Roman" w:hAnsi="Times New Roman"/>
          <w:sz w:val="24"/>
          <w:szCs w:val="24"/>
          <w:lang w:val="en-GB"/>
        </w:rPr>
      </w:pPr>
      <w:r w:rsidRPr="00D836B3">
        <w:rPr>
          <w:rFonts w:ascii="Times New Roman" w:hAnsi="Times New Roman"/>
          <w:sz w:val="24"/>
          <w:szCs w:val="24"/>
          <w:lang w:val="en-GB"/>
        </w:rPr>
        <w:t xml:space="preserve">[2] </w:t>
      </w:r>
      <w:proofErr w:type="spellStart"/>
      <w:r w:rsidRPr="00D836B3">
        <w:rPr>
          <w:rFonts w:ascii="Times New Roman" w:hAnsi="Times New Roman"/>
          <w:sz w:val="24"/>
          <w:szCs w:val="24"/>
          <w:lang w:val="en-GB"/>
        </w:rPr>
        <w:t>Gamborg</w:t>
      </w:r>
      <w:proofErr w:type="spellEnd"/>
      <w:r w:rsidRPr="00D836B3">
        <w:rPr>
          <w:rFonts w:ascii="Times New Roman" w:hAnsi="Times New Roman"/>
          <w:sz w:val="24"/>
          <w:szCs w:val="24"/>
          <w:lang w:val="en-GB"/>
        </w:rPr>
        <w:t xml:space="preserve"> OL, Miller RA, </w:t>
      </w:r>
      <w:proofErr w:type="spellStart"/>
      <w:r w:rsidRPr="00D836B3">
        <w:rPr>
          <w:rFonts w:ascii="Times New Roman" w:hAnsi="Times New Roman"/>
          <w:sz w:val="24"/>
          <w:szCs w:val="24"/>
          <w:lang w:val="en-GB"/>
        </w:rPr>
        <w:t>Ojima</w:t>
      </w:r>
      <w:proofErr w:type="spellEnd"/>
      <w:r w:rsidRPr="00D836B3">
        <w:rPr>
          <w:rFonts w:ascii="Times New Roman" w:hAnsi="Times New Roman"/>
          <w:sz w:val="24"/>
          <w:szCs w:val="24"/>
          <w:lang w:val="en-GB"/>
        </w:rPr>
        <w:t xml:space="preserve"> K. Nutrient requirement of suspensions cultures of soybean root cells. Exp. Cell Res. 1968</w:t>
      </w:r>
      <w:proofErr w:type="gramStart"/>
      <w:r w:rsidRPr="00D836B3">
        <w:rPr>
          <w:rFonts w:ascii="Times New Roman" w:hAnsi="Times New Roman"/>
          <w:sz w:val="24"/>
          <w:szCs w:val="24"/>
          <w:lang w:val="en-GB"/>
        </w:rPr>
        <w:t>,50:151</w:t>
      </w:r>
      <w:proofErr w:type="gramEnd"/>
    </w:p>
    <w:p w:rsidR="00D836B3" w:rsidRDefault="00D836B3" w:rsidP="00D836B3">
      <w:pPr>
        <w:spacing w:after="0" w:line="480" w:lineRule="auto"/>
        <w:jc w:val="both"/>
        <w:rPr>
          <w:rFonts w:ascii="Times New Roman" w:hAnsi="Times New Roman"/>
          <w:sz w:val="24"/>
          <w:szCs w:val="24"/>
          <w:lang w:val="en-GB"/>
        </w:rPr>
      </w:pPr>
    </w:p>
    <w:p w:rsidR="00375758" w:rsidRDefault="00375758" w:rsidP="00375758">
      <w:pPr>
        <w:spacing w:after="0" w:line="480" w:lineRule="auto"/>
        <w:jc w:val="both"/>
        <w:rPr>
          <w:rFonts w:ascii="Times New Roman" w:hAnsi="Times New Roman"/>
          <w:sz w:val="24"/>
          <w:szCs w:val="24"/>
          <w:lang w:val="en-GB"/>
        </w:rPr>
      </w:pPr>
      <w:r w:rsidRPr="00D836B3">
        <w:rPr>
          <w:rFonts w:ascii="Times New Roman" w:hAnsi="Times New Roman"/>
          <w:sz w:val="24"/>
          <w:szCs w:val="24"/>
          <w:lang w:val="en-GB"/>
        </w:rPr>
        <w:lastRenderedPageBreak/>
        <w:t xml:space="preserve">Both </w:t>
      </w:r>
      <w:r w:rsidRPr="00D836B3">
        <w:rPr>
          <w:rFonts w:ascii="Times New Roman" w:hAnsi="Times New Roman"/>
          <w:i/>
          <w:sz w:val="24"/>
          <w:szCs w:val="24"/>
          <w:lang w:val="en-GB"/>
        </w:rPr>
        <w:t>in vitro</w:t>
      </w:r>
      <w:r w:rsidRPr="00D836B3">
        <w:rPr>
          <w:rFonts w:ascii="Times New Roman" w:hAnsi="Times New Roman"/>
          <w:sz w:val="24"/>
          <w:szCs w:val="24"/>
          <w:lang w:val="en-GB"/>
        </w:rPr>
        <w:t xml:space="preserve"> cultivation conditions and pre-sowing treatments were evaluated using approximately 4000 seeds in total.</w:t>
      </w:r>
      <w:r w:rsidRPr="00375758">
        <w:rPr>
          <w:rFonts w:ascii="Times New Roman" w:hAnsi="Times New Roman"/>
          <w:sz w:val="24"/>
          <w:szCs w:val="24"/>
          <w:lang w:val="en-GB"/>
        </w:rPr>
        <w:t xml:space="preserve"> </w:t>
      </w:r>
      <w:r>
        <w:rPr>
          <w:rFonts w:ascii="Times New Roman" w:hAnsi="Times New Roman"/>
          <w:sz w:val="24"/>
          <w:szCs w:val="24"/>
          <w:lang w:val="en-GB"/>
        </w:rPr>
        <w:t xml:space="preserve">A resume of these </w:t>
      </w:r>
      <w:r w:rsidRPr="00D836B3">
        <w:rPr>
          <w:rFonts w:ascii="Times New Roman" w:hAnsi="Times New Roman"/>
          <w:sz w:val="24"/>
          <w:szCs w:val="24"/>
          <w:lang w:val="en-GB"/>
        </w:rPr>
        <w:t>pre-sowing treatments</w:t>
      </w:r>
      <w:r>
        <w:rPr>
          <w:rFonts w:ascii="Times New Roman" w:hAnsi="Times New Roman"/>
          <w:sz w:val="24"/>
          <w:szCs w:val="24"/>
          <w:lang w:val="en-GB"/>
        </w:rPr>
        <w:t xml:space="preserve"> are shown here.</w:t>
      </w:r>
    </w:p>
    <w:p w:rsidR="00D836B3" w:rsidRPr="00D836B3" w:rsidRDefault="00D836B3" w:rsidP="00D836B3">
      <w:pPr>
        <w:spacing w:after="0" w:line="480" w:lineRule="auto"/>
        <w:jc w:val="both"/>
        <w:rPr>
          <w:rFonts w:ascii="Times New Roman" w:hAnsi="Times New Roman"/>
          <w:sz w:val="24"/>
          <w:szCs w:val="24"/>
          <w:lang w:val="en-GB"/>
        </w:rPr>
      </w:pPr>
    </w:p>
    <w:tbl>
      <w:tblPr>
        <w:tblStyle w:val="Listaclara"/>
        <w:tblW w:w="0" w:type="auto"/>
        <w:jc w:val="center"/>
        <w:tblLook w:val="04A0" w:firstRow="1" w:lastRow="0" w:firstColumn="1" w:lastColumn="0" w:noHBand="0" w:noVBand="1"/>
      </w:tblPr>
      <w:tblGrid>
        <w:gridCol w:w="1849"/>
        <w:gridCol w:w="2065"/>
        <w:gridCol w:w="2181"/>
        <w:gridCol w:w="2133"/>
      </w:tblGrid>
      <w:tr w:rsidR="00E4551E" w:rsidRPr="00D836B3" w:rsidTr="00397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000000" w:themeColor="text1"/>
              <w:left w:val="single" w:sz="8" w:space="0" w:color="000000" w:themeColor="text1"/>
              <w:bottom w:val="nil"/>
              <w:right w:val="nil"/>
            </w:tcBorders>
            <w:hideMark/>
          </w:tcPr>
          <w:p w:rsidR="00E4551E" w:rsidRPr="00D836B3" w:rsidRDefault="00E4551E" w:rsidP="00397D37">
            <w:pPr>
              <w:spacing w:line="480" w:lineRule="auto"/>
              <w:jc w:val="both"/>
              <w:rPr>
                <w:rFonts w:ascii="Times New Roman" w:hAnsi="Times New Roman"/>
                <w:color w:val="auto"/>
                <w:sz w:val="24"/>
                <w:szCs w:val="24"/>
                <w:lang w:val="en-GB"/>
              </w:rPr>
            </w:pPr>
            <w:r w:rsidRPr="00D836B3">
              <w:rPr>
                <w:rFonts w:ascii="Times New Roman" w:hAnsi="Times New Roman"/>
                <w:color w:val="auto"/>
                <w:sz w:val="24"/>
                <w:szCs w:val="24"/>
                <w:lang w:val="en-GB"/>
              </w:rPr>
              <w:t>Process</w:t>
            </w:r>
          </w:p>
        </w:tc>
        <w:tc>
          <w:tcPr>
            <w:tcW w:w="2065" w:type="dxa"/>
            <w:tcBorders>
              <w:top w:val="single" w:sz="8" w:space="0" w:color="000000" w:themeColor="text1"/>
              <w:left w:val="nil"/>
              <w:bottom w:val="nil"/>
              <w:right w:val="nil"/>
            </w:tcBorders>
            <w:hideMark/>
          </w:tcPr>
          <w:p w:rsidR="00E4551E" w:rsidRPr="00D836B3" w:rsidRDefault="00E4551E" w:rsidP="00397D37">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D836B3">
              <w:rPr>
                <w:rFonts w:ascii="Times New Roman" w:hAnsi="Times New Roman"/>
                <w:color w:val="auto"/>
                <w:sz w:val="24"/>
                <w:szCs w:val="24"/>
                <w:lang w:val="en-GB"/>
              </w:rPr>
              <w:t>Condition</w:t>
            </w:r>
          </w:p>
        </w:tc>
        <w:tc>
          <w:tcPr>
            <w:tcW w:w="2181" w:type="dxa"/>
            <w:tcBorders>
              <w:top w:val="single" w:sz="8" w:space="0" w:color="000000" w:themeColor="text1"/>
              <w:left w:val="nil"/>
              <w:bottom w:val="nil"/>
              <w:right w:val="nil"/>
            </w:tcBorders>
            <w:hideMark/>
          </w:tcPr>
          <w:p w:rsidR="00E4551E" w:rsidRPr="00D836B3" w:rsidRDefault="00E4551E" w:rsidP="00397D37">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en-GB"/>
              </w:rPr>
            </w:pPr>
            <w:r w:rsidRPr="00D836B3">
              <w:rPr>
                <w:rFonts w:ascii="Times New Roman" w:hAnsi="Times New Roman"/>
                <w:color w:val="auto"/>
                <w:sz w:val="24"/>
                <w:szCs w:val="24"/>
                <w:lang w:val="en-GB"/>
              </w:rPr>
              <w:t>Treatment</w:t>
            </w:r>
          </w:p>
        </w:tc>
        <w:tc>
          <w:tcPr>
            <w:tcW w:w="2133" w:type="dxa"/>
            <w:tcBorders>
              <w:top w:val="single" w:sz="8" w:space="0" w:color="000000" w:themeColor="text1"/>
              <w:left w:val="nil"/>
              <w:bottom w:val="nil"/>
              <w:right w:val="single" w:sz="8" w:space="0" w:color="000000" w:themeColor="text1"/>
            </w:tcBorders>
            <w:hideMark/>
          </w:tcPr>
          <w:p w:rsidR="00E4551E" w:rsidRPr="00D836B3" w:rsidRDefault="00E4551E" w:rsidP="00397D37">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D836B3">
              <w:rPr>
                <w:rFonts w:ascii="Times New Roman" w:hAnsi="Times New Roman"/>
                <w:color w:val="auto"/>
                <w:sz w:val="24"/>
                <w:szCs w:val="24"/>
                <w:lang w:val="en-GB"/>
              </w:rPr>
              <w:t>Observation</w:t>
            </w:r>
          </w:p>
        </w:tc>
      </w:tr>
      <w:tr w:rsidR="00E4551E" w:rsidRPr="00375758"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9" w:type="dxa"/>
            <w:vMerge w:val="restart"/>
            <w:tcBorders>
              <w:bottom w:val="nil"/>
              <w:right w:val="nil"/>
            </w:tcBorders>
            <w:hideMark/>
          </w:tcPr>
          <w:p w:rsidR="00E4551E" w:rsidRPr="00D836B3" w:rsidRDefault="00E4551E" w:rsidP="00397D37">
            <w:pPr>
              <w:spacing w:line="480" w:lineRule="auto"/>
              <w:jc w:val="both"/>
              <w:rPr>
                <w:rFonts w:ascii="Times New Roman" w:hAnsi="Times New Roman"/>
                <w:sz w:val="24"/>
                <w:szCs w:val="24"/>
                <w:lang w:val="en-GB"/>
              </w:rPr>
            </w:pPr>
            <w:r w:rsidRPr="00D836B3">
              <w:rPr>
                <w:rFonts w:ascii="Times New Roman" w:hAnsi="Times New Roman"/>
                <w:i/>
                <w:sz w:val="24"/>
                <w:szCs w:val="24"/>
                <w:lang w:val="en-GB"/>
              </w:rPr>
              <w:t>In vitro</w:t>
            </w:r>
            <w:r w:rsidRPr="00D836B3">
              <w:rPr>
                <w:rFonts w:ascii="Times New Roman" w:hAnsi="Times New Roman"/>
                <w:sz w:val="24"/>
                <w:szCs w:val="24"/>
                <w:lang w:val="en-GB"/>
              </w:rPr>
              <w:t xml:space="preserve"> seed cultivation </w:t>
            </w:r>
          </w:p>
        </w:tc>
        <w:tc>
          <w:tcPr>
            <w:tcW w:w="2065"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Growth media</w:t>
            </w: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roofErr w:type="spellStart"/>
            <w:r w:rsidRPr="00D836B3">
              <w:rPr>
                <w:rFonts w:ascii="Times New Roman" w:hAnsi="Times New Roman"/>
                <w:sz w:val="24"/>
                <w:szCs w:val="24"/>
                <w:lang w:val="en-GB"/>
              </w:rPr>
              <w:t>Murashige</w:t>
            </w:r>
            <w:proofErr w:type="spellEnd"/>
            <w:r w:rsidRPr="00D836B3">
              <w:rPr>
                <w:rFonts w:ascii="Times New Roman" w:hAnsi="Times New Roman"/>
                <w:sz w:val="24"/>
                <w:szCs w:val="24"/>
                <w:lang w:val="en-GB"/>
              </w:rPr>
              <w:t xml:space="preserve"> &amp; Skoog and Gamborg5</w:t>
            </w:r>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With and without activated carbon</w:t>
            </w:r>
          </w:p>
        </w:tc>
      </w:tr>
      <w:tr w:rsidR="00E4551E" w:rsidRPr="00D836B3" w:rsidTr="00397D3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nil"/>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pH</w:t>
            </w:r>
          </w:p>
        </w:tc>
        <w:tc>
          <w:tcPr>
            <w:tcW w:w="2181"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5.8, 7.0, and 9.0</w:t>
            </w:r>
          </w:p>
        </w:tc>
        <w:tc>
          <w:tcPr>
            <w:tcW w:w="2133" w:type="dxa"/>
            <w:tcBorders>
              <w:top w:val="nil"/>
              <w:left w:val="nil"/>
              <w:bottom w:val="nil"/>
              <w:right w:val="single" w:sz="8" w:space="0" w:color="000000" w:themeColor="text1"/>
            </w:tcBorders>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tc>
      </w:tr>
      <w:tr w:rsidR="00E4551E" w:rsidRPr="00D836B3"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Temperature</w:t>
            </w: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21°C and 30°C</w:t>
            </w:r>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w:t>
            </w:r>
          </w:p>
        </w:tc>
      </w:tr>
      <w:tr w:rsidR="00E4551E" w:rsidRPr="00D836B3" w:rsidTr="00397D3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nil"/>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Light</w:t>
            </w:r>
          </w:p>
        </w:tc>
        <w:tc>
          <w:tcPr>
            <w:tcW w:w="2181"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With and without</w:t>
            </w:r>
          </w:p>
        </w:tc>
        <w:tc>
          <w:tcPr>
            <w:tcW w:w="2133" w:type="dxa"/>
            <w:tcBorders>
              <w:top w:val="nil"/>
              <w:left w:val="nil"/>
              <w:bottom w:val="nil"/>
              <w:right w:val="single" w:sz="8" w:space="0" w:color="000000" w:themeColor="text1"/>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w:t>
            </w:r>
          </w:p>
        </w:tc>
      </w:tr>
      <w:tr w:rsidR="00E4551E" w:rsidRPr="00D836B3"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9" w:type="dxa"/>
            <w:vMerge w:val="restart"/>
            <w:tcBorders>
              <w:right w:val="nil"/>
            </w:tcBorders>
            <w:hideMark/>
          </w:tcPr>
          <w:p w:rsidR="00E4551E" w:rsidRPr="00D836B3" w:rsidRDefault="00E4551E" w:rsidP="00397D37">
            <w:pPr>
              <w:spacing w:line="480" w:lineRule="auto"/>
              <w:jc w:val="both"/>
              <w:rPr>
                <w:rFonts w:ascii="Times New Roman" w:hAnsi="Times New Roman"/>
                <w:sz w:val="24"/>
                <w:szCs w:val="24"/>
                <w:lang w:val="en-GB"/>
              </w:rPr>
            </w:pPr>
            <w:r w:rsidRPr="00D836B3">
              <w:rPr>
                <w:rFonts w:ascii="Times New Roman" w:hAnsi="Times New Roman"/>
                <w:sz w:val="24"/>
                <w:szCs w:val="24"/>
                <w:lang w:val="en-GB"/>
              </w:rPr>
              <w:t>Pre-sowing treatments</w:t>
            </w:r>
          </w:p>
        </w:tc>
        <w:tc>
          <w:tcPr>
            <w:tcW w:w="2065"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Stratification</w:t>
            </w: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Cold (4°C) and room temp (21°C)</w:t>
            </w:r>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After three months</w:t>
            </w:r>
          </w:p>
        </w:tc>
      </w:tr>
      <w:tr w:rsidR="00E4551E" w:rsidRPr="00D836B3" w:rsidTr="00397D3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8" w:space="0" w:color="000000" w:themeColor="text1"/>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vMerge w:val="restart"/>
            <w:tcBorders>
              <w:top w:val="nil"/>
              <w:left w:val="nil"/>
              <w:bottom w:val="single" w:sz="8" w:space="0" w:color="000000" w:themeColor="text1"/>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Disinfection</w:t>
            </w:r>
          </w:p>
        </w:tc>
        <w:tc>
          <w:tcPr>
            <w:tcW w:w="2181"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 xml:space="preserve">70% Ethanol </w:t>
            </w:r>
          </w:p>
        </w:tc>
        <w:tc>
          <w:tcPr>
            <w:tcW w:w="2133" w:type="dxa"/>
            <w:tcBorders>
              <w:top w:val="nil"/>
              <w:left w:val="nil"/>
              <w:bottom w:val="nil"/>
              <w:right w:val="single" w:sz="8" w:space="0" w:color="000000" w:themeColor="text1"/>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3, 5, and 10 min</w:t>
            </w:r>
          </w:p>
        </w:tc>
      </w:tr>
      <w:tr w:rsidR="00E4551E" w:rsidRPr="00D836B3"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0" w:type="auto"/>
            <w:vMerge/>
            <w:tcBorders>
              <w:top w:val="nil"/>
              <w:left w:val="nil"/>
              <w:right w:val="nil"/>
            </w:tcBorders>
            <w:vAlign w:val="center"/>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 xml:space="preserve">2% </w:t>
            </w:r>
            <w:proofErr w:type="spellStart"/>
            <w:r w:rsidRPr="00D836B3">
              <w:rPr>
                <w:rFonts w:ascii="Times New Roman" w:hAnsi="Times New Roman"/>
                <w:sz w:val="24"/>
                <w:szCs w:val="24"/>
                <w:lang w:val="en-GB"/>
              </w:rPr>
              <w:t>NaClO</w:t>
            </w:r>
            <w:proofErr w:type="spellEnd"/>
            <w:r w:rsidRPr="00D836B3">
              <w:rPr>
                <w:rFonts w:ascii="Times New Roman" w:hAnsi="Times New Roman"/>
                <w:sz w:val="24"/>
                <w:szCs w:val="24"/>
                <w:lang w:val="en-GB"/>
              </w:rPr>
              <w:t xml:space="preserve"> </w:t>
            </w:r>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5, 10, and 15 min</w:t>
            </w:r>
          </w:p>
        </w:tc>
      </w:tr>
      <w:tr w:rsidR="00E4551E" w:rsidRPr="00D836B3" w:rsidTr="00397D3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8" w:space="0" w:color="000000" w:themeColor="text1"/>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vMerge w:val="restart"/>
            <w:tcBorders>
              <w:top w:val="nil"/>
              <w:left w:val="nil"/>
              <w:bottom w:val="single" w:sz="8" w:space="0" w:color="000000" w:themeColor="text1"/>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Chemical scarification</w:t>
            </w:r>
          </w:p>
        </w:tc>
        <w:tc>
          <w:tcPr>
            <w:tcW w:w="2181"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H</w:t>
            </w:r>
            <w:r w:rsidRPr="00D836B3">
              <w:rPr>
                <w:rFonts w:ascii="Times New Roman" w:hAnsi="Times New Roman"/>
                <w:sz w:val="24"/>
                <w:szCs w:val="24"/>
                <w:vertAlign w:val="subscript"/>
                <w:lang w:val="en-GB"/>
              </w:rPr>
              <w:t>2</w:t>
            </w:r>
            <w:r w:rsidRPr="00D836B3">
              <w:rPr>
                <w:rFonts w:ascii="Times New Roman" w:hAnsi="Times New Roman"/>
                <w:sz w:val="24"/>
                <w:szCs w:val="24"/>
                <w:lang w:val="en-GB"/>
              </w:rPr>
              <w:t>SO</w:t>
            </w:r>
            <w:r w:rsidRPr="00D836B3">
              <w:rPr>
                <w:rFonts w:ascii="Times New Roman" w:hAnsi="Times New Roman"/>
                <w:sz w:val="24"/>
                <w:szCs w:val="24"/>
                <w:vertAlign w:val="subscript"/>
                <w:lang w:val="en-GB"/>
              </w:rPr>
              <w:t>4</w:t>
            </w:r>
          </w:p>
        </w:tc>
        <w:tc>
          <w:tcPr>
            <w:tcW w:w="2133" w:type="dxa"/>
            <w:tcBorders>
              <w:top w:val="nil"/>
              <w:left w:val="nil"/>
              <w:bottom w:val="nil"/>
              <w:right w:val="single" w:sz="8" w:space="0" w:color="000000" w:themeColor="text1"/>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3, 5, and 10 min</w:t>
            </w:r>
          </w:p>
        </w:tc>
      </w:tr>
      <w:tr w:rsidR="00E4551E" w:rsidRPr="00D836B3"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0" w:type="auto"/>
            <w:vMerge/>
            <w:tcBorders>
              <w:top w:val="nil"/>
              <w:left w:val="nil"/>
              <w:right w:val="nil"/>
            </w:tcBorders>
            <w:vAlign w:val="center"/>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GA</w:t>
            </w:r>
            <w:r w:rsidRPr="00D836B3">
              <w:rPr>
                <w:rFonts w:ascii="Times New Roman" w:hAnsi="Times New Roman"/>
                <w:sz w:val="24"/>
                <w:szCs w:val="24"/>
                <w:vertAlign w:val="subscript"/>
                <w:lang w:val="en-GB"/>
              </w:rPr>
              <w:t>3</w:t>
            </w:r>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48 h and 72 h</w:t>
            </w:r>
          </w:p>
        </w:tc>
      </w:tr>
      <w:tr w:rsidR="00E4551E" w:rsidRPr="00D836B3" w:rsidTr="00397D3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8" w:space="0" w:color="000000" w:themeColor="text1"/>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vMerge w:val="restart"/>
            <w:tcBorders>
              <w:top w:val="nil"/>
              <w:left w:val="nil"/>
              <w:bottom w:val="single" w:sz="8" w:space="0" w:color="000000" w:themeColor="text1"/>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Mechanical scarification</w:t>
            </w:r>
          </w:p>
        </w:tc>
        <w:tc>
          <w:tcPr>
            <w:tcW w:w="2181"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Sandpaper</w:t>
            </w:r>
          </w:p>
        </w:tc>
        <w:tc>
          <w:tcPr>
            <w:tcW w:w="2133" w:type="dxa"/>
            <w:tcBorders>
              <w:top w:val="nil"/>
              <w:left w:val="nil"/>
              <w:bottom w:val="nil"/>
              <w:right w:val="single" w:sz="8" w:space="0" w:color="000000" w:themeColor="text1"/>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1 min</w:t>
            </w:r>
          </w:p>
        </w:tc>
      </w:tr>
      <w:tr w:rsidR="00E4551E" w:rsidRPr="00D836B3"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0" w:type="auto"/>
            <w:vMerge/>
            <w:tcBorders>
              <w:top w:val="nil"/>
              <w:left w:val="nil"/>
              <w:right w:val="nil"/>
            </w:tcBorders>
            <w:vAlign w:val="center"/>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 xml:space="preserve">Cut in </w:t>
            </w:r>
            <w:proofErr w:type="spellStart"/>
            <w:r w:rsidRPr="00D836B3">
              <w:rPr>
                <w:rFonts w:ascii="Times New Roman" w:hAnsi="Times New Roman"/>
                <w:sz w:val="24"/>
                <w:szCs w:val="24"/>
                <w:lang w:val="en-GB"/>
              </w:rPr>
              <w:t>testa</w:t>
            </w:r>
            <w:proofErr w:type="spellEnd"/>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1 cut</w:t>
            </w:r>
          </w:p>
        </w:tc>
      </w:tr>
      <w:tr w:rsidR="00E4551E" w:rsidRPr="00D836B3" w:rsidTr="00397D3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8" w:space="0" w:color="000000" w:themeColor="text1"/>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2065" w:type="dxa"/>
            <w:vMerge w:val="restart"/>
            <w:tcBorders>
              <w:top w:val="nil"/>
              <w:left w:val="nil"/>
              <w:bottom w:val="single" w:sz="8" w:space="0" w:color="000000" w:themeColor="text1"/>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Thermic scarification</w:t>
            </w:r>
          </w:p>
        </w:tc>
        <w:tc>
          <w:tcPr>
            <w:tcW w:w="2181" w:type="dxa"/>
            <w:tcBorders>
              <w:top w:val="nil"/>
              <w:left w:val="nil"/>
              <w:bottom w:val="nil"/>
              <w:right w:val="nil"/>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Hot water (100°)</w:t>
            </w:r>
          </w:p>
        </w:tc>
        <w:tc>
          <w:tcPr>
            <w:tcW w:w="2133" w:type="dxa"/>
            <w:tcBorders>
              <w:top w:val="nil"/>
              <w:left w:val="nil"/>
              <w:bottom w:val="nil"/>
              <w:right w:val="single" w:sz="8" w:space="0" w:color="000000" w:themeColor="text1"/>
            </w:tcBorders>
            <w:hideMark/>
          </w:tcPr>
          <w:p w:rsidR="00E4551E" w:rsidRPr="00D836B3" w:rsidRDefault="00E4551E" w:rsidP="00397D3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1 and 3 min</w:t>
            </w:r>
          </w:p>
        </w:tc>
      </w:tr>
      <w:tr w:rsidR="00E4551E" w:rsidRPr="00D836B3" w:rsidTr="0039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E4551E" w:rsidRPr="00D836B3" w:rsidRDefault="00E4551E" w:rsidP="00397D37">
            <w:pPr>
              <w:spacing w:line="480" w:lineRule="auto"/>
              <w:jc w:val="both"/>
              <w:rPr>
                <w:rFonts w:ascii="Times New Roman" w:hAnsi="Times New Roman"/>
                <w:sz w:val="24"/>
                <w:szCs w:val="24"/>
                <w:lang w:val="en-GB"/>
              </w:rPr>
            </w:pPr>
          </w:p>
        </w:tc>
        <w:tc>
          <w:tcPr>
            <w:tcW w:w="0" w:type="auto"/>
            <w:vMerge/>
            <w:tcBorders>
              <w:top w:val="nil"/>
              <w:left w:val="nil"/>
              <w:right w:val="nil"/>
            </w:tcBorders>
            <w:vAlign w:val="center"/>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tc>
        <w:tc>
          <w:tcPr>
            <w:tcW w:w="2181" w:type="dxa"/>
            <w:tcBorders>
              <w:left w:val="nil"/>
              <w:righ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Tap water</w:t>
            </w:r>
          </w:p>
        </w:tc>
        <w:tc>
          <w:tcPr>
            <w:tcW w:w="2133" w:type="dxa"/>
            <w:tcBorders>
              <w:left w:val="nil"/>
            </w:tcBorders>
            <w:hideMark/>
          </w:tcPr>
          <w:p w:rsidR="00E4551E" w:rsidRPr="00D836B3" w:rsidRDefault="00E4551E" w:rsidP="00397D3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D836B3">
              <w:rPr>
                <w:rFonts w:ascii="Times New Roman" w:hAnsi="Times New Roman"/>
                <w:sz w:val="24"/>
                <w:szCs w:val="24"/>
                <w:lang w:val="en-GB"/>
              </w:rPr>
              <w:t>24 h and 48 h</w:t>
            </w:r>
          </w:p>
        </w:tc>
      </w:tr>
    </w:tbl>
    <w:p w:rsidR="00E4551E" w:rsidRPr="00D836B3" w:rsidRDefault="00E4551E" w:rsidP="00E4551E">
      <w:pPr>
        <w:spacing w:after="0" w:line="480" w:lineRule="auto"/>
        <w:rPr>
          <w:rFonts w:ascii="Times New Roman" w:hAnsi="Times New Roman"/>
          <w:sz w:val="28"/>
          <w:szCs w:val="24"/>
          <w:lang w:val="en-GB"/>
        </w:rPr>
      </w:pPr>
    </w:p>
    <w:p w:rsidR="00D501E3" w:rsidRPr="00D836B3" w:rsidRDefault="00D501E3">
      <w:pPr>
        <w:rPr>
          <w:rFonts w:ascii="Times New Roman" w:hAnsi="Times New Roman"/>
        </w:rPr>
      </w:pPr>
    </w:p>
    <w:sectPr w:rsidR="00D501E3" w:rsidRPr="00D836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1E"/>
    <w:rsid w:val="0036061E"/>
    <w:rsid w:val="00375758"/>
    <w:rsid w:val="00D501E3"/>
    <w:rsid w:val="00D836B3"/>
    <w:rsid w:val="00E455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E4551E"/>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E4551E"/>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PC-48</dc:creator>
  <cp:lastModifiedBy>PC-48</cp:lastModifiedBy>
  <cp:revision>4</cp:revision>
  <dcterms:created xsi:type="dcterms:W3CDTF">2018-01-10T19:10:00Z</dcterms:created>
  <dcterms:modified xsi:type="dcterms:W3CDTF">2018-03-02T02:07:00Z</dcterms:modified>
</cp:coreProperties>
</file>