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F00B" w14:textId="77777777" w:rsidR="00A062F7" w:rsidRPr="00A062F7" w:rsidRDefault="00A062F7" w:rsidP="00A062F7">
      <w:pPr>
        <w:spacing w:after="120"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062F7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Additional file 15:</w:t>
      </w:r>
      <w:r w:rsidRPr="00A062F7">
        <w:rPr>
          <w:color w:val="000000" w:themeColor="text1"/>
          <w:sz w:val="22"/>
          <w:szCs w:val="22"/>
        </w:rPr>
        <w:t xml:space="preserve"> </w:t>
      </w:r>
      <w:r w:rsidRPr="00A062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Significantly expressed and KOG annotated </w:t>
      </w:r>
      <w:proofErr w:type="spellStart"/>
      <w:r w:rsidRPr="00A062F7">
        <w:rPr>
          <w:rFonts w:ascii="Times New Roman" w:hAnsi="Times New Roman" w:cs="Times New Roman"/>
          <w:color w:val="000000" w:themeColor="text1"/>
          <w:sz w:val="22"/>
          <w:szCs w:val="22"/>
        </w:rPr>
        <w:t>Glomeromycotina</w:t>
      </w:r>
      <w:proofErr w:type="spellEnd"/>
      <w:r w:rsidRPr="00A062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transcripts in root and shoot in each soil. The number of significantly expressed and  KOG annotated </w:t>
      </w:r>
      <w:proofErr w:type="spellStart"/>
      <w:r w:rsidRPr="00A062F7">
        <w:rPr>
          <w:rFonts w:ascii="Times New Roman" w:hAnsi="Times New Roman" w:cs="Times New Roman"/>
          <w:color w:val="000000" w:themeColor="text1"/>
          <w:sz w:val="22"/>
          <w:szCs w:val="22"/>
        </w:rPr>
        <w:t>Glomeromycotina</w:t>
      </w:r>
      <w:proofErr w:type="spellEnd"/>
      <w:r w:rsidRPr="00A062F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transcripts (All) is defined as the number of transcripts that obtained ≥ 5 aligned reads in at least 3 samples from each of the following treatments: root acid bog soil (RA), root lime soil (RL), shoot acid bog soil (SA) and shoot lime soil (SL). Significant ecotype effects (absolute log</w:t>
      </w:r>
      <w:r w:rsidRPr="00A062F7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A062F7">
        <w:rPr>
          <w:rFonts w:ascii="Times New Roman" w:hAnsi="Times New Roman" w:cs="Times New Roman"/>
          <w:color w:val="000000" w:themeColor="text1"/>
          <w:sz w:val="22"/>
          <w:szCs w:val="22"/>
        </w:rPr>
        <w:t>FC ≥ 1 or ≤ -1, FDR &lt; 0.05) as identified by DESeq2 analysis are reported in subsequent columns for each treatment group, under the heading plant effect.</w:t>
      </w:r>
    </w:p>
    <w:tbl>
      <w:tblPr>
        <w:tblW w:w="8146" w:type="dxa"/>
        <w:tblInd w:w="5" w:type="dxa"/>
        <w:tblLook w:val="04A0" w:firstRow="1" w:lastRow="0" w:firstColumn="1" w:lastColumn="0" w:noHBand="0" w:noVBand="1"/>
      </w:tblPr>
      <w:tblGrid>
        <w:gridCol w:w="2508"/>
        <w:gridCol w:w="376"/>
        <w:gridCol w:w="503"/>
        <w:gridCol w:w="503"/>
        <w:gridCol w:w="446"/>
        <w:gridCol w:w="503"/>
        <w:gridCol w:w="503"/>
        <w:gridCol w:w="375"/>
        <w:gridCol w:w="503"/>
        <w:gridCol w:w="503"/>
        <w:gridCol w:w="417"/>
        <w:gridCol w:w="503"/>
        <w:gridCol w:w="503"/>
        <w:tblGridChange w:id="0">
          <w:tblGrid>
            <w:gridCol w:w="2508"/>
            <w:gridCol w:w="376"/>
            <w:gridCol w:w="503"/>
            <w:gridCol w:w="503"/>
            <w:gridCol w:w="446"/>
            <w:gridCol w:w="503"/>
            <w:gridCol w:w="503"/>
            <w:gridCol w:w="375"/>
            <w:gridCol w:w="503"/>
            <w:gridCol w:w="503"/>
            <w:gridCol w:w="417"/>
            <w:gridCol w:w="503"/>
            <w:gridCol w:w="503"/>
          </w:tblGrid>
        </w:tblGridChange>
      </w:tblGrid>
      <w:tr w:rsidR="00E72BCF" w:rsidRPr="00F12BDB" w14:paraId="3E01E62E" w14:textId="77777777" w:rsidTr="00E72BCF">
        <w:trPr>
          <w:trHeight w:val="557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A373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F12BDB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Glomeromycotina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C3011" w14:textId="77777777" w:rsidR="00E72BCF" w:rsidRPr="00F12BDB" w:rsidRDefault="00E72BCF" w:rsidP="0011202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>SA</w:t>
            </w:r>
            <w:r w:rsidRPr="00F12B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 xml:space="preserve"> </w:t>
            </w: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expressed at ≥ 5 reads in 3 out of 10 samples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CEC59" w14:textId="77777777" w:rsidR="00E72BCF" w:rsidRPr="00F12BDB" w:rsidRDefault="00E72BCF" w:rsidP="0011202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>SL</w:t>
            </w:r>
            <w:r w:rsidRPr="00F12B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 xml:space="preserve"> </w:t>
            </w: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expressed at ≥ 5 reads in 3 out of 10 samples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3C295" w14:textId="77777777" w:rsidR="00E72BCF" w:rsidRPr="00F12BDB" w:rsidRDefault="00E72BCF" w:rsidP="0011202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>RA</w:t>
            </w:r>
            <w:r w:rsidRPr="00F12B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 xml:space="preserve"> </w:t>
            </w: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expressed at ≥ 5 reads in 3 out of 10 samples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CCD6E" w14:textId="77777777" w:rsidR="00E72BCF" w:rsidRPr="00F12BDB" w:rsidRDefault="00E72BCF" w:rsidP="0011202D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/>
              </w:rPr>
              <w:t xml:space="preserve">RL </w:t>
            </w: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expressed at ≥ 5 reads in 3 out of 10 samples</w:t>
            </w:r>
          </w:p>
        </w:tc>
      </w:tr>
      <w:tr w:rsidR="00E72BCF" w:rsidRPr="00F12BDB" w14:paraId="76217BE9" w14:textId="77777777" w:rsidTr="00E72BCF">
        <w:trPr>
          <w:trHeight w:val="292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837DE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43298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  <w:t>All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596C1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  <w:t>Acid plant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6A65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  <w:t>Lime plant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7F56F7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  <w:t>All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83D5D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  <w:t>Acid plant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E789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/>
              </w:rPr>
              <w:t>Lime plant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D48F0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  <w:t>All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3F4AE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  <w:t>Acid plant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9AB7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  <w:t>Lime plant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240B6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  <w:t>All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964FA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  <w:t>Acid plant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A302" w14:textId="77777777" w:rsidR="00E72BCF" w:rsidRPr="00124E8B" w:rsidRDefault="00E72BCF" w:rsidP="0011202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</w:pPr>
            <w:r w:rsidRPr="00124E8B">
              <w:rPr>
                <w:rFonts w:ascii="Arial" w:eastAsia="Times New Roman" w:hAnsi="Arial" w:cs="Arial"/>
                <w:b/>
                <w:sz w:val="12"/>
                <w:szCs w:val="12"/>
                <w:lang w:val="en-GB"/>
              </w:rPr>
              <w:t>Lime plant</w:t>
            </w:r>
          </w:p>
        </w:tc>
      </w:tr>
      <w:tr w:rsidR="00E72BCF" w:rsidRPr="00F12BDB" w14:paraId="655403D6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B80F8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bookmarkStart w:id="1" w:name="_GoBack" w:colFirst="1" w:colLast="12"/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CELLULAR PROCESSES AND SIGNALING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968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197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0B4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EA37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1219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254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AEDB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D564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87E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E6F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43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30B0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7E8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</w:tr>
      <w:tr w:rsidR="00E72BCF" w:rsidRPr="00F12BDB" w14:paraId="75BF6905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14F0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Cell motility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201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EC1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D725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83A7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A0C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DF1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6B6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5F84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9BE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64C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4216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309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146E965F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CE64B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Cell wall/membrane/envelope biogenesis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BA04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116F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9F02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980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C180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3385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FD8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B472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4B43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E21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825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074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05A54371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B65BE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Cytoskeleton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B22D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318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0933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5AA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D48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C4F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4F89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2AAC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E64F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52FC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7A8E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B98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19B3CA25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8FFE6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proofErr w:type="spellStart"/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Defense</w:t>
            </w:r>
            <w:proofErr w:type="spellEnd"/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mechanisms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D6B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34B9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7347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4D95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31E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4D7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E092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BE8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7AE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15E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65C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714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42B5B96A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A6C4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Extracellular structures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05EF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7A7D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680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5DA5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E54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3B3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295A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5447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BC8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7AB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1D1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DF3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569086E7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6E415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Intracellular trafficking, secretion, and vesicular transport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8EBE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8A1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5067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3F0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07DF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0E9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E15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C32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9A4F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B394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470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D92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3584A68F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42370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Nuclear structure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392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D999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9DD9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57C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FC5C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9A7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CA2C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E1E3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AD17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A59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65E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4D8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6F5FEA4D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67B1D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Posttranslational modification, protein turnover, chaperones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DE61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1096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705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D5F3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EE5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922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41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8AC3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AF7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F613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2486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0C98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</w:tr>
      <w:tr w:rsidR="00E72BCF" w:rsidRPr="00F12BDB" w14:paraId="1E767D26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76E5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Signal transduction mechanisms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A10D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43C2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390F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BFD9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C386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C002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08B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92C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45DF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4C03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FCE4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9B9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13DD5AA6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BED9A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FBC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591B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377C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657B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00C8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6DD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8AB3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E571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167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E32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99B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FAA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</w:tr>
      <w:tr w:rsidR="00E72BCF" w:rsidRPr="00F12BDB" w14:paraId="0D9A98B5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B54C4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INFORMATION STORAGE AND PROCESSING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C17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B90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0811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400C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EB47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8EA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72FB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EB3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214A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916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04F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342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69586635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117BD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Chromatin structure and dynamics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B28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5010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4BD7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1F6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A43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422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D5F6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124C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D52B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A2D1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F93B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258E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2564210E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6017A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Replication, recombination and repair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A52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3782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51F5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169F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BC6A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FA4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DD75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C3B1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CA8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E845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73CC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0D0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444FE6DD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4DE52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RNA processing and modification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A72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B2A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0739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ED68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9944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0BF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A921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4858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25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E898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2F6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683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5AA9B833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80E1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Transcription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5145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A87A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EC0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CAF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9552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968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DC56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48B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0E90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8578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2D9C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91A7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635FD487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C5C5C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Translation, ribosomal structure and biogenesis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1B7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AD9E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6BA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9F0F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DDA8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E3E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0EB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F092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D70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B709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583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0B80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24CCC9BD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93AE6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56D0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5BAA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7841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27EB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49DC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DC7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A11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82A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B4C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2E8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A9F6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DCC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</w:tr>
      <w:tr w:rsidR="00E72BCF" w:rsidRPr="00F12BDB" w14:paraId="5AC4E1DC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0C7C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METABOLISM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CD1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A946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6EE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B9FE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2ACB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117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F0CE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E75C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9ED5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265B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3F74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B05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5A9B01C8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99B59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Amino acid transport and metabolism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8AC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E189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FF7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FA6E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23BC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833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8B9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6C2F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26BA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8AB0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F33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F7C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7B833DC8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04A19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Carbohydrate transport and metabolism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75EE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071C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9991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1D67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CD93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BC6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55FC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92CC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274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D07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35A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378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44EFC4C0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60D66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Cell cycle control, cell division, chromosome partitioning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0A0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7624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F13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ED60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42F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3D6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3DF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4B9E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D450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D595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9ED0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C77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5F6D05A6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D863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Coenzyme transport and metabolism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9114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7A27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628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A59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475C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6BE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F5CD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B17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6BE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6891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6CB3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DBB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2BFB7874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E890B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Energy production and conversion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C5FB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1892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6D56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5105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414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2594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9E6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4DCA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23A4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28B7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C12D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A30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1EFA033E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8B34F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Inorganic ion transport and metabolism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3CE3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BF39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DF1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8EB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4952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686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1838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F7D6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9EF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E71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E94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DF76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0D9DB424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B118D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Lipid transport and metabolism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389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02E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3B4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CC0D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0200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A621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1342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111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67E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B68C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76C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CF9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4BDA6EF6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8C36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Nucleotide transport and metabolism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EA3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DA19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CF4A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15EA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87C1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49C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A6E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F45A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F125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09B0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8578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874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71AD43E3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FB2FB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Secondary metabolites biosynthesis, transport and catabolism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1F1F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C861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254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1D16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5AD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CE5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3C0D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9893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E02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46A0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307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2FF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6A8C1D14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252E7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3301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81FA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3CA0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248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80F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9FA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AEFB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C067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0F72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6204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13BD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0D6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</w:tr>
      <w:tr w:rsidR="00E72BCF" w:rsidRPr="00F12BDB" w14:paraId="05DB7A8E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4815A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POORLY CHARACTERIZED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218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AFF7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E2A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0149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397F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8D4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B3B8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8912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6360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46E4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A18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367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6F62F7B2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94EB6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Function unknown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6DA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3F80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F216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2B0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F8C8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E623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2AC2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FD8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2E2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EEB9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834E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087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50536344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5524A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General function prediction only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A6A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BF8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E26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272D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DB7D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A35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6AE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F8E3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B8F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A499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64E1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DA1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</w:tr>
      <w:tr w:rsidR="00E72BCF" w:rsidRPr="00F12BDB" w14:paraId="4703AC8C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3FE2C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AA8F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1C4E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CC230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2A292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3B40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F179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9A10D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4406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83AC4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32846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8CF2A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AA6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 </w:t>
            </w:r>
          </w:p>
        </w:tc>
      </w:tr>
      <w:tr w:rsidR="00E72BCF" w:rsidRPr="00F12BDB" w14:paraId="2FF98DFD" w14:textId="77777777" w:rsidTr="00E72BCF">
        <w:trPr>
          <w:trHeight w:val="24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FF581D" w14:textId="77777777" w:rsidR="00E72BCF" w:rsidRPr="00F12BDB" w:rsidRDefault="00E72BCF" w:rsidP="0011202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F12BDB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Total KOG annotated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447E5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703A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48B0B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6E941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F4EA9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808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4EB1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CFEEC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C6478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74D67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11AFF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736A" w14:textId="77777777" w:rsidR="00E72BCF" w:rsidRPr="00E72BCF" w:rsidRDefault="00E72BCF" w:rsidP="0011202D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E72BCF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1</w:t>
            </w:r>
          </w:p>
        </w:tc>
      </w:tr>
    </w:tbl>
    <w:bookmarkEnd w:id="1"/>
    <w:p w14:paraId="1910B424" w14:textId="4B8DB34F" w:rsidR="005A3349" w:rsidRDefault="00E72BCF">
      <w:r w:rsidDel="00A062F7">
        <w:rPr>
          <w:b/>
          <w:color w:val="000000" w:themeColor="text1"/>
          <w:sz w:val="22"/>
          <w:szCs w:val="22"/>
        </w:rPr>
        <w:t xml:space="preserve"> </w:t>
      </w:r>
    </w:p>
    <w:sectPr w:rsidR="005A3349" w:rsidSect="00AA74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en">
    <w15:presenceInfo w15:providerId="Windows Live" w15:userId="1aefa1b9160835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DB"/>
    <w:rsid w:val="00124E8B"/>
    <w:rsid w:val="005A3349"/>
    <w:rsid w:val="009764C8"/>
    <w:rsid w:val="00A062F7"/>
    <w:rsid w:val="00AA74AF"/>
    <w:rsid w:val="00CB6D10"/>
    <w:rsid w:val="00E2064F"/>
    <w:rsid w:val="00E72BCF"/>
    <w:rsid w:val="00F12BDB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B2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2414</Characters>
  <Application>Microsoft Macintosh Word</Application>
  <DocSecurity>0</DocSecurity>
  <Lines>20</Lines>
  <Paragraphs>5</Paragraphs>
  <ScaleCrop>false</ScaleCrop>
  <Company>qub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cmeharg meharg</dc:creator>
  <cp:keywords/>
  <dc:description/>
  <cp:lastModifiedBy>cmeharg meharg</cp:lastModifiedBy>
  <cp:revision>4</cp:revision>
  <dcterms:created xsi:type="dcterms:W3CDTF">2018-01-25T13:40:00Z</dcterms:created>
  <dcterms:modified xsi:type="dcterms:W3CDTF">2018-01-29T13:47:00Z</dcterms:modified>
</cp:coreProperties>
</file>