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04" w:rsidRDefault="00CE3404" w:rsidP="00CE3404">
      <w:pPr>
        <w:spacing w:after="0" w:line="240" w:lineRule="auto"/>
        <w:rPr>
          <w:sz w:val="20"/>
        </w:rPr>
      </w:pPr>
      <w:r>
        <w:rPr>
          <w:b/>
          <w:sz w:val="20"/>
        </w:rPr>
        <w:t>Table</w:t>
      </w:r>
      <w:r w:rsidR="009D1B16">
        <w:rPr>
          <w:b/>
          <w:sz w:val="20"/>
        </w:rPr>
        <w:t xml:space="preserve"> S</w:t>
      </w:r>
      <w:r>
        <w:rPr>
          <w:b/>
          <w:sz w:val="20"/>
        </w:rPr>
        <w:t xml:space="preserve">2 </w:t>
      </w:r>
      <w:r>
        <w:rPr>
          <w:sz w:val="20"/>
        </w:rPr>
        <w:t>Components and scoring methods of the Dietary Guideline Index (DGI)</w:t>
      </w:r>
    </w:p>
    <w:tbl>
      <w:tblPr>
        <w:tblW w:w="13750" w:type="dxa"/>
        <w:tblLook w:val="04A0"/>
      </w:tblPr>
      <w:tblGrid>
        <w:gridCol w:w="2977"/>
        <w:gridCol w:w="4111"/>
        <w:gridCol w:w="2551"/>
        <w:gridCol w:w="2127"/>
        <w:gridCol w:w="1984"/>
      </w:tblGrid>
      <w:tr w:rsidR="00CE3404" w:rsidTr="00CE3404">
        <w:trPr>
          <w:trHeight w:val="465"/>
        </w:trPr>
        <w:tc>
          <w:tcPr>
            <w:tcW w:w="2977" w:type="dxa"/>
            <w:tcBorders>
              <w:top w:val="single" w:sz="8" w:space="0" w:color="auto"/>
              <w:left w:val="nil"/>
              <w:bottom w:val="single" w:sz="8" w:space="0" w:color="auto"/>
              <w:right w:val="nil"/>
            </w:tcBorders>
            <w:vAlign w:val="center"/>
            <w:hideMark/>
          </w:tcPr>
          <w:p w:rsidR="00CE3404" w:rsidRDefault="00CE3404">
            <w:pPr>
              <w:spacing w:after="0" w:line="240" w:lineRule="auto"/>
              <w:jc w:val="center"/>
              <w:rPr>
                <w:rFonts w:eastAsia="Times New Roman" w:cs="Times New Roman"/>
                <w:color w:val="000000"/>
                <w:sz w:val="20"/>
                <w:szCs w:val="20"/>
                <w:lang w:eastAsia="en-AU"/>
              </w:rPr>
            </w:pPr>
            <w:bookmarkStart w:id="0" w:name="RANGE!A2"/>
            <w:r>
              <w:rPr>
                <w:rFonts w:eastAsia="Times New Roman" w:cs="Times New Roman"/>
                <w:color w:val="000000"/>
                <w:sz w:val="20"/>
                <w:szCs w:val="20"/>
                <w:lang w:eastAsia="en-AU"/>
              </w:rPr>
              <w:t>Dietary Guideline</w:t>
            </w:r>
            <w:bookmarkEnd w:id="0"/>
          </w:p>
        </w:tc>
        <w:tc>
          <w:tcPr>
            <w:tcW w:w="4111" w:type="dxa"/>
            <w:tcBorders>
              <w:top w:val="single" w:sz="8" w:space="0" w:color="auto"/>
              <w:left w:val="nil"/>
              <w:bottom w:val="single" w:sz="8" w:space="0" w:color="auto"/>
              <w:right w:val="nil"/>
            </w:tcBorders>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Indicator and description</w:t>
            </w:r>
          </w:p>
        </w:tc>
        <w:tc>
          <w:tcPr>
            <w:tcW w:w="2551" w:type="dxa"/>
            <w:tcBorders>
              <w:top w:val="single" w:sz="8" w:space="0" w:color="auto"/>
              <w:left w:val="nil"/>
              <w:bottom w:val="single" w:sz="8" w:space="0" w:color="auto"/>
              <w:right w:val="nil"/>
            </w:tcBorders>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Criteria for maximum score</w:t>
            </w:r>
            <w:r>
              <w:rPr>
                <w:rFonts w:eastAsia="Times New Roman" w:cs="Times New Roman"/>
                <w:color w:val="000000"/>
                <w:sz w:val="20"/>
                <w:szCs w:val="20"/>
                <w:vertAlign w:val="superscript"/>
                <w:lang w:eastAsia="en-AU"/>
              </w:rPr>
              <w:t>1</w:t>
            </w:r>
          </w:p>
        </w:tc>
        <w:tc>
          <w:tcPr>
            <w:tcW w:w="2127" w:type="dxa"/>
            <w:tcBorders>
              <w:top w:val="single" w:sz="8" w:space="0" w:color="auto"/>
              <w:left w:val="nil"/>
              <w:bottom w:val="single" w:sz="8" w:space="0" w:color="auto"/>
              <w:right w:val="nil"/>
            </w:tcBorders>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Criteria for minimum score (0)</w:t>
            </w:r>
          </w:p>
        </w:tc>
        <w:tc>
          <w:tcPr>
            <w:tcW w:w="1984" w:type="dxa"/>
            <w:tcBorders>
              <w:top w:val="single" w:sz="8" w:space="0" w:color="auto"/>
              <w:left w:val="nil"/>
              <w:bottom w:val="single" w:sz="8" w:space="0" w:color="auto"/>
              <w:right w:val="nil"/>
            </w:tcBorders>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Maximum Score</w:t>
            </w:r>
          </w:p>
        </w:tc>
      </w:tr>
      <w:tr w:rsidR="00CE3404" w:rsidTr="00CE3404">
        <w:trPr>
          <w:trHeight w:val="315"/>
        </w:trPr>
        <w:tc>
          <w:tcPr>
            <w:tcW w:w="7088" w:type="dxa"/>
            <w:gridSpan w:val="2"/>
            <w:tcBorders>
              <w:top w:val="single" w:sz="8" w:space="0" w:color="auto"/>
              <w:left w:val="nil"/>
              <w:bottom w:val="single" w:sz="8" w:space="0" w:color="auto"/>
              <w:right w:val="nil"/>
            </w:tcBorders>
            <w:shd w:val="clear" w:color="auto" w:fill="BFBFBF"/>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Guidelines for adequate intake</w:t>
            </w:r>
          </w:p>
        </w:tc>
        <w:tc>
          <w:tcPr>
            <w:tcW w:w="2551" w:type="dxa"/>
            <w:tcBorders>
              <w:top w:val="nil"/>
              <w:left w:val="nil"/>
              <w:bottom w:val="single" w:sz="8" w:space="0" w:color="auto"/>
              <w:right w:val="nil"/>
            </w:tcBorders>
            <w:shd w:val="clear" w:color="auto" w:fill="BFBFBF"/>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 </w:t>
            </w:r>
          </w:p>
        </w:tc>
        <w:tc>
          <w:tcPr>
            <w:tcW w:w="2127" w:type="dxa"/>
            <w:tcBorders>
              <w:top w:val="nil"/>
              <w:left w:val="nil"/>
              <w:bottom w:val="single" w:sz="8" w:space="0" w:color="auto"/>
              <w:right w:val="nil"/>
            </w:tcBorders>
            <w:shd w:val="clear" w:color="auto" w:fill="BFBFBF"/>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 </w:t>
            </w:r>
          </w:p>
        </w:tc>
        <w:tc>
          <w:tcPr>
            <w:tcW w:w="1984" w:type="dxa"/>
            <w:tcBorders>
              <w:top w:val="nil"/>
              <w:left w:val="nil"/>
              <w:bottom w:val="single" w:sz="8" w:space="0" w:color="auto"/>
              <w:right w:val="nil"/>
            </w:tcBorders>
            <w:shd w:val="clear" w:color="auto" w:fill="BFBFBF"/>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 </w:t>
            </w:r>
          </w:p>
        </w:tc>
      </w:tr>
      <w:tr w:rsidR="00CE3404" w:rsidTr="00CE3404">
        <w:trPr>
          <w:trHeight w:val="900"/>
        </w:trPr>
        <w:tc>
          <w:tcPr>
            <w:tcW w:w="2977" w:type="dxa"/>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1. Enjoy a wide variety of nutritious foods</w:t>
            </w:r>
          </w:p>
        </w:tc>
        <w:tc>
          <w:tcPr>
            <w:tcW w:w="4111" w:type="dxa"/>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Food variety</w:t>
            </w:r>
            <w:r>
              <w:rPr>
                <w:rFonts w:eastAsia="Times New Roman" w:cs="Times New Roman"/>
                <w:color w:val="000000"/>
                <w:sz w:val="20"/>
                <w:szCs w:val="20"/>
                <w:vertAlign w:val="superscript"/>
                <w:lang w:eastAsia="en-AU"/>
              </w:rPr>
              <w:t xml:space="preserve"> 2</w:t>
            </w:r>
            <w:r>
              <w:rPr>
                <w:rFonts w:eastAsia="Times New Roman" w:cs="Times New Roman"/>
                <w:color w:val="000000"/>
                <w:sz w:val="20"/>
                <w:szCs w:val="20"/>
                <w:lang w:eastAsia="en-AU"/>
              </w:rPr>
              <w:t>: proportion of food from each of the 5 core food groups eaten at least one serve per week</w:t>
            </w:r>
          </w:p>
        </w:tc>
        <w:tc>
          <w:tcPr>
            <w:tcW w:w="2551"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100%</w:t>
            </w:r>
          </w:p>
        </w:tc>
        <w:tc>
          <w:tcPr>
            <w:tcW w:w="2127"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0%</w:t>
            </w:r>
          </w:p>
        </w:tc>
        <w:tc>
          <w:tcPr>
            <w:tcW w:w="1984"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10</w:t>
            </w:r>
          </w:p>
        </w:tc>
      </w:tr>
      <w:tr w:rsidR="00CE3404" w:rsidTr="00CE3404">
        <w:trPr>
          <w:trHeight w:val="300"/>
        </w:trPr>
        <w:tc>
          <w:tcPr>
            <w:tcW w:w="2977" w:type="dxa"/>
            <w:vMerge w:val="restart"/>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2. Plenty of vegetables</w:t>
            </w:r>
          </w:p>
        </w:tc>
        <w:tc>
          <w:tcPr>
            <w:tcW w:w="4111" w:type="dxa"/>
            <w:vMerge w:val="restart"/>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Total vegetable intake: servings of vegetables per day</w:t>
            </w:r>
          </w:p>
        </w:tc>
        <w:tc>
          <w:tcPr>
            <w:tcW w:w="2551"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19-50 y: M ≥ 6, F ≥ 5</w:t>
            </w:r>
          </w:p>
        </w:tc>
        <w:tc>
          <w:tcPr>
            <w:tcW w:w="2127" w:type="dxa"/>
            <w:vMerge w:val="restart"/>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0</w:t>
            </w:r>
          </w:p>
        </w:tc>
        <w:tc>
          <w:tcPr>
            <w:tcW w:w="1984" w:type="dxa"/>
            <w:vMerge w:val="restart"/>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10</w:t>
            </w:r>
          </w:p>
        </w:tc>
      </w:tr>
      <w:tr w:rsidR="00CE3404" w:rsidTr="00CE3404">
        <w:trPr>
          <w:trHeight w:val="300"/>
        </w:trPr>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2551"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51-70 y: M ≥ 5.5, F ≥ 5</w:t>
            </w: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r>
      <w:tr w:rsidR="00CE3404" w:rsidTr="00CE3404">
        <w:trPr>
          <w:trHeight w:val="300"/>
        </w:trPr>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2551"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&gt;70 y: M ≥ 5, F ≥ 5</w:t>
            </w: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r>
      <w:tr w:rsidR="00CE3404" w:rsidTr="00CE3404">
        <w:trPr>
          <w:trHeight w:val="333"/>
        </w:trPr>
        <w:tc>
          <w:tcPr>
            <w:tcW w:w="2977" w:type="dxa"/>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3. Fruit</w:t>
            </w:r>
          </w:p>
        </w:tc>
        <w:tc>
          <w:tcPr>
            <w:tcW w:w="4111" w:type="dxa"/>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Total fruit intake: servings of fruit per day</w:t>
            </w:r>
          </w:p>
        </w:tc>
        <w:tc>
          <w:tcPr>
            <w:tcW w:w="2551"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 2</w:t>
            </w:r>
          </w:p>
        </w:tc>
        <w:tc>
          <w:tcPr>
            <w:tcW w:w="2127"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0</w:t>
            </w:r>
          </w:p>
        </w:tc>
        <w:tc>
          <w:tcPr>
            <w:tcW w:w="1984"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10</w:t>
            </w:r>
          </w:p>
        </w:tc>
      </w:tr>
      <w:tr w:rsidR="00CE3404" w:rsidTr="00CE3404">
        <w:trPr>
          <w:trHeight w:val="300"/>
        </w:trPr>
        <w:tc>
          <w:tcPr>
            <w:tcW w:w="2977" w:type="dxa"/>
            <w:vMerge w:val="restart"/>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4. Grain (cereal) foods</w:t>
            </w:r>
          </w:p>
        </w:tc>
        <w:tc>
          <w:tcPr>
            <w:tcW w:w="4111" w:type="dxa"/>
            <w:vMerge w:val="restart"/>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Total cereal intake: servings of grains per day</w:t>
            </w:r>
          </w:p>
        </w:tc>
        <w:tc>
          <w:tcPr>
            <w:tcW w:w="2551"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19-50 y: M ≥ 6, F ≥ 6</w:t>
            </w:r>
          </w:p>
        </w:tc>
        <w:tc>
          <w:tcPr>
            <w:tcW w:w="2127" w:type="dxa"/>
            <w:vMerge w:val="restart"/>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0</w:t>
            </w:r>
          </w:p>
        </w:tc>
        <w:tc>
          <w:tcPr>
            <w:tcW w:w="1984" w:type="dxa"/>
            <w:vMerge w:val="restart"/>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5</w:t>
            </w:r>
          </w:p>
        </w:tc>
      </w:tr>
      <w:tr w:rsidR="00CE3404" w:rsidTr="00CE3404">
        <w:trPr>
          <w:trHeight w:val="300"/>
        </w:trPr>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2551"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51-70 y: M ≥ 6, F ≥ 4</w:t>
            </w: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r>
      <w:tr w:rsidR="00CE3404" w:rsidTr="00CE3404">
        <w:trPr>
          <w:trHeight w:val="300"/>
        </w:trPr>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2551"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&gt;70 y: M ≥ 4.5, F ≥ 3</w:t>
            </w: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r>
      <w:tr w:rsidR="00CE3404" w:rsidTr="00CE3404">
        <w:trPr>
          <w:trHeight w:val="675"/>
        </w:trPr>
        <w:tc>
          <w:tcPr>
            <w:tcW w:w="2977" w:type="dxa"/>
            <w:vAlign w:val="center"/>
            <w:hideMark/>
          </w:tcPr>
          <w:p w:rsidR="00CE3404" w:rsidRDefault="00CE3404">
            <w:pPr>
              <w:rPr>
                <w:rFonts w:eastAsia="Times New Roman" w:cs="Times New Roman"/>
                <w:color w:val="000000"/>
                <w:sz w:val="20"/>
                <w:szCs w:val="20"/>
                <w:lang w:eastAsia="en-AU"/>
              </w:rPr>
            </w:pPr>
          </w:p>
        </w:tc>
        <w:tc>
          <w:tcPr>
            <w:tcW w:w="4111" w:type="dxa"/>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Wholegrain or high fibre cereals: proportion of wholegrain bread to white bread intake per day</w:t>
            </w:r>
          </w:p>
        </w:tc>
        <w:tc>
          <w:tcPr>
            <w:tcW w:w="2551"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 50% wholemeal bread</w:t>
            </w:r>
          </w:p>
        </w:tc>
        <w:tc>
          <w:tcPr>
            <w:tcW w:w="2127"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0%</w:t>
            </w:r>
          </w:p>
        </w:tc>
        <w:tc>
          <w:tcPr>
            <w:tcW w:w="1984"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5</w:t>
            </w:r>
          </w:p>
        </w:tc>
      </w:tr>
      <w:tr w:rsidR="00CE3404" w:rsidTr="00CE3404">
        <w:trPr>
          <w:trHeight w:val="300"/>
        </w:trPr>
        <w:tc>
          <w:tcPr>
            <w:tcW w:w="2977" w:type="dxa"/>
            <w:vMerge w:val="restart"/>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5. Lean meat and poultry, fish, eggs, nuts and seeds, and legumes/beans</w:t>
            </w:r>
          </w:p>
        </w:tc>
        <w:tc>
          <w:tcPr>
            <w:tcW w:w="4111" w:type="dxa"/>
            <w:vMerge w:val="restart"/>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Total lean meat and alternative: servings per day</w:t>
            </w:r>
          </w:p>
        </w:tc>
        <w:tc>
          <w:tcPr>
            <w:tcW w:w="2551"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19-50 y: M ≥ 3, F ≥ 2.5</w:t>
            </w:r>
          </w:p>
        </w:tc>
        <w:tc>
          <w:tcPr>
            <w:tcW w:w="2127" w:type="dxa"/>
            <w:vMerge w:val="restart"/>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0</w:t>
            </w:r>
          </w:p>
        </w:tc>
        <w:tc>
          <w:tcPr>
            <w:tcW w:w="1984" w:type="dxa"/>
            <w:vMerge w:val="restart"/>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5</w:t>
            </w:r>
          </w:p>
        </w:tc>
      </w:tr>
      <w:tr w:rsidR="00CE3404" w:rsidTr="00CE3404">
        <w:trPr>
          <w:trHeight w:val="300"/>
        </w:trPr>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2551"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51-70 y: M ≥ 2.5, F ≥ 2</w:t>
            </w: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r>
      <w:tr w:rsidR="00CE3404" w:rsidTr="00CE3404">
        <w:trPr>
          <w:trHeight w:val="300"/>
        </w:trPr>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2551"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&gt;70 y: M ≥ 2.5, F ≥ 2</w:t>
            </w: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r>
      <w:tr w:rsidR="00CE3404" w:rsidTr="00CE3404">
        <w:trPr>
          <w:trHeight w:val="675"/>
        </w:trPr>
        <w:tc>
          <w:tcPr>
            <w:tcW w:w="2977" w:type="dxa"/>
            <w:vAlign w:val="center"/>
            <w:hideMark/>
          </w:tcPr>
          <w:p w:rsidR="00CE3404" w:rsidRDefault="00CE3404">
            <w:pPr>
              <w:rPr>
                <w:rFonts w:eastAsia="Times New Roman" w:cs="Times New Roman"/>
                <w:color w:val="000000"/>
                <w:sz w:val="20"/>
                <w:szCs w:val="20"/>
                <w:lang w:eastAsia="en-AU"/>
              </w:rPr>
            </w:pPr>
          </w:p>
        </w:tc>
        <w:tc>
          <w:tcPr>
            <w:tcW w:w="4111" w:type="dxa"/>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Lean meat: proportion of lean meats and alternatives to total meat and alternatives per day</w:t>
            </w:r>
          </w:p>
        </w:tc>
        <w:tc>
          <w:tcPr>
            <w:tcW w:w="2551"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100%</w:t>
            </w:r>
          </w:p>
        </w:tc>
        <w:tc>
          <w:tcPr>
            <w:tcW w:w="2127"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0%</w:t>
            </w:r>
          </w:p>
        </w:tc>
        <w:tc>
          <w:tcPr>
            <w:tcW w:w="1984"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5</w:t>
            </w:r>
          </w:p>
        </w:tc>
      </w:tr>
      <w:tr w:rsidR="00CE3404" w:rsidTr="00CE3404">
        <w:trPr>
          <w:trHeight w:val="300"/>
        </w:trPr>
        <w:tc>
          <w:tcPr>
            <w:tcW w:w="2977" w:type="dxa"/>
            <w:vMerge w:val="restart"/>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6. Milk, yoghurt, cheese and/or their alternatives</w:t>
            </w:r>
            <w:r>
              <w:rPr>
                <w:rFonts w:eastAsia="Times New Roman" w:cs="Times New Roman"/>
                <w:color w:val="000000"/>
                <w:sz w:val="20"/>
                <w:szCs w:val="20"/>
                <w:vertAlign w:val="superscript"/>
                <w:lang w:eastAsia="en-AU"/>
              </w:rPr>
              <w:t>3</w:t>
            </w:r>
          </w:p>
        </w:tc>
        <w:tc>
          <w:tcPr>
            <w:tcW w:w="4111" w:type="dxa"/>
            <w:vMerge w:val="restart"/>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Total dairy and alternative: servings per day</w:t>
            </w:r>
          </w:p>
        </w:tc>
        <w:tc>
          <w:tcPr>
            <w:tcW w:w="2551"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19-50 y: M ≥ 2.5, F ≥ 2.5</w:t>
            </w:r>
          </w:p>
        </w:tc>
        <w:tc>
          <w:tcPr>
            <w:tcW w:w="2127" w:type="dxa"/>
            <w:vMerge w:val="restart"/>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0</w:t>
            </w:r>
          </w:p>
        </w:tc>
        <w:tc>
          <w:tcPr>
            <w:tcW w:w="1984" w:type="dxa"/>
            <w:vMerge w:val="restart"/>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10</w:t>
            </w:r>
          </w:p>
        </w:tc>
      </w:tr>
      <w:tr w:rsidR="00CE3404" w:rsidTr="00CE3404">
        <w:trPr>
          <w:trHeight w:val="300"/>
        </w:trPr>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2551"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51-70 y: M ≥ 2.5, F ≥ 4</w:t>
            </w: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r>
      <w:tr w:rsidR="00CE3404" w:rsidTr="00CE3404">
        <w:trPr>
          <w:trHeight w:val="300"/>
        </w:trPr>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2551"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&gt;70 y: M ≥ 3.5, F ≥ 4</w:t>
            </w: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r>
      <w:tr w:rsidR="00CE3404" w:rsidTr="00CE3404">
        <w:trPr>
          <w:trHeight w:val="383"/>
        </w:trPr>
        <w:tc>
          <w:tcPr>
            <w:tcW w:w="2977" w:type="dxa"/>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7. Drink plenty of water</w:t>
            </w:r>
          </w:p>
        </w:tc>
        <w:tc>
          <w:tcPr>
            <w:tcW w:w="4111" w:type="dxa"/>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Total beverage intake</w:t>
            </w:r>
            <w:r>
              <w:rPr>
                <w:rFonts w:eastAsia="Times New Roman" w:cs="Times New Roman"/>
                <w:color w:val="000000"/>
                <w:sz w:val="20"/>
                <w:szCs w:val="20"/>
                <w:vertAlign w:val="superscript"/>
                <w:lang w:eastAsia="en-AU"/>
              </w:rPr>
              <w:t>4</w:t>
            </w:r>
            <w:r>
              <w:rPr>
                <w:rFonts w:eastAsia="Times New Roman" w:cs="Times New Roman"/>
                <w:color w:val="000000"/>
                <w:sz w:val="20"/>
                <w:szCs w:val="20"/>
                <w:lang w:eastAsia="en-AU"/>
              </w:rPr>
              <w:t>: servings per day</w:t>
            </w:r>
          </w:p>
        </w:tc>
        <w:tc>
          <w:tcPr>
            <w:tcW w:w="2551"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M ≥ 10; F ≥ 8</w:t>
            </w:r>
          </w:p>
        </w:tc>
        <w:tc>
          <w:tcPr>
            <w:tcW w:w="2127"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0</w:t>
            </w:r>
          </w:p>
        </w:tc>
        <w:tc>
          <w:tcPr>
            <w:tcW w:w="1984"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5</w:t>
            </w:r>
          </w:p>
        </w:tc>
      </w:tr>
      <w:tr w:rsidR="00CE3404" w:rsidTr="00CE3404">
        <w:trPr>
          <w:trHeight w:val="465"/>
        </w:trPr>
        <w:tc>
          <w:tcPr>
            <w:tcW w:w="2977" w:type="dxa"/>
            <w:tcBorders>
              <w:top w:val="nil"/>
              <w:left w:val="nil"/>
              <w:bottom w:val="single" w:sz="8" w:space="0" w:color="auto"/>
              <w:right w:val="nil"/>
            </w:tcBorders>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 </w:t>
            </w:r>
          </w:p>
        </w:tc>
        <w:tc>
          <w:tcPr>
            <w:tcW w:w="4111" w:type="dxa"/>
            <w:tcBorders>
              <w:top w:val="nil"/>
              <w:left w:val="nil"/>
              <w:bottom w:val="single" w:sz="8" w:space="0" w:color="auto"/>
              <w:right w:val="nil"/>
            </w:tcBorders>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Water</w:t>
            </w:r>
            <w:r>
              <w:rPr>
                <w:rFonts w:eastAsia="Times New Roman" w:cs="Times New Roman"/>
                <w:color w:val="000000"/>
                <w:sz w:val="20"/>
                <w:szCs w:val="20"/>
                <w:vertAlign w:val="superscript"/>
                <w:lang w:eastAsia="en-AU"/>
              </w:rPr>
              <w:t>5</w:t>
            </w:r>
            <w:r>
              <w:rPr>
                <w:rFonts w:eastAsia="Times New Roman" w:cs="Times New Roman"/>
                <w:color w:val="000000"/>
                <w:sz w:val="20"/>
                <w:szCs w:val="20"/>
                <w:lang w:eastAsia="en-AU"/>
              </w:rPr>
              <w:t>: proportion of water to total beverage intake per day</w:t>
            </w:r>
          </w:p>
        </w:tc>
        <w:tc>
          <w:tcPr>
            <w:tcW w:w="2551" w:type="dxa"/>
            <w:tcBorders>
              <w:top w:val="nil"/>
              <w:left w:val="nil"/>
              <w:bottom w:val="single" w:sz="8" w:space="0" w:color="auto"/>
              <w:right w:val="nil"/>
            </w:tcBorders>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 50%</w:t>
            </w:r>
          </w:p>
        </w:tc>
        <w:tc>
          <w:tcPr>
            <w:tcW w:w="2127" w:type="dxa"/>
            <w:tcBorders>
              <w:top w:val="nil"/>
              <w:left w:val="nil"/>
              <w:bottom w:val="single" w:sz="8" w:space="0" w:color="auto"/>
              <w:right w:val="nil"/>
            </w:tcBorders>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0%</w:t>
            </w:r>
          </w:p>
        </w:tc>
        <w:tc>
          <w:tcPr>
            <w:tcW w:w="1984" w:type="dxa"/>
            <w:tcBorders>
              <w:top w:val="nil"/>
              <w:left w:val="nil"/>
              <w:bottom w:val="single" w:sz="8" w:space="0" w:color="auto"/>
              <w:right w:val="nil"/>
            </w:tcBorders>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5</w:t>
            </w:r>
          </w:p>
        </w:tc>
      </w:tr>
      <w:tr w:rsidR="00CE3404" w:rsidTr="00CE3404">
        <w:trPr>
          <w:trHeight w:val="315"/>
        </w:trPr>
        <w:tc>
          <w:tcPr>
            <w:tcW w:w="7088" w:type="dxa"/>
            <w:gridSpan w:val="2"/>
            <w:tcBorders>
              <w:top w:val="single" w:sz="8" w:space="0" w:color="auto"/>
              <w:left w:val="nil"/>
              <w:bottom w:val="single" w:sz="8" w:space="0" w:color="auto"/>
              <w:right w:val="nil"/>
            </w:tcBorders>
            <w:shd w:val="clear" w:color="auto" w:fill="BFBFBF"/>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Guidelines to limit or moderate intake</w:t>
            </w:r>
          </w:p>
        </w:tc>
        <w:tc>
          <w:tcPr>
            <w:tcW w:w="2551" w:type="dxa"/>
            <w:tcBorders>
              <w:top w:val="nil"/>
              <w:left w:val="nil"/>
              <w:bottom w:val="single" w:sz="8" w:space="0" w:color="auto"/>
              <w:right w:val="nil"/>
            </w:tcBorders>
            <w:shd w:val="clear" w:color="auto" w:fill="BFBFBF"/>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 </w:t>
            </w:r>
          </w:p>
        </w:tc>
        <w:tc>
          <w:tcPr>
            <w:tcW w:w="2127" w:type="dxa"/>
            <w:tcBorders>
              <w:top w:val="nil"/>
              <w:left w:val="nil"/>
              <w:bottom w:val="single" w:sz="8" w:space="0" w:color="auto"/>
              <w:right w:val="nil"/>
            </w:tcBorders>
            <w:shd w:val="clear" w:color="auto" w:fill="BFBFBF"/>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 </w:t>
            </w:r>
          </w:p>
        </w:tc>
        <w:tc>
          <w:tcPr>
            <w:tcW w:w="1984" w:type="dxa"/>
            <w:tcBorders>
              <w:top w:val="nil"/>
              <w:left w:val="nil"/>
              <w:bottom w:val="single" w:sz="8" w:space="0" w:color="auto"/>
              <w:right w:val="nil"/>
            </w:tcBorders>
            <w:shd w:val="clear" w:color="auto" w:fill="BFBFBF"/>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 </w:t>
            </w:r>
          </w:p>
        </w:tc>
      </w:tr>
      <w:tr w:rsidR="00CE3404" w:rsidTr="00CE3404">
        <w:trPr>
          <w:trHeight w:val="675"/>
        </w:trPr>
        <w:tc>
          <w:tcPr>
            <w:tcW w:w="2977" w:type="dxa"/>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lastRenderedPageBreak/>
              <w:t>8. Limit intake of foods containing saturated fat, added salt, added sugars and alcohol</w:t>
            </w:r>
          </w:p>
        </w:tc>
        <w:tc>
          <w:tcPr>
            <w:tcW w:w="4111" w:type="dxa"/>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Limit discretionary foods</w:t>
            </w:r>
          </w:p>
        </w:tc>
        <w:tc>
          <w:tcPr>
            <w:tcW w:w="2551"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M ≤ 3; F ≤ 2.5</w:t>
            </w:r>
          </w:p>
        </w:tc>
        <w:tc>
          <w:tcPr>
            <w:tcW w:w="2127"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M &gt; 3; F &gt; 2.5</w:t>
            </w:r>
          </w:p>
        </w:tc>
        <w:tc>
          <w:tcPr>
            <w:tcW w:w="1984"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10</w:t>
            </w:r>
          </w:p>
        </w:tc>
      </w:tr>
      <w:tr w:rsidR="00CE3404" w:rsidTr="00CE3404">
        <w:trPr>
          <w:trHeight w:val="335"/>
        </w:trPr>
        <w:tc>
          <w:tcPr>
            <w:tcW w:w="2977" w:type="dxa"/>
            <w:vMerge w:val="restart"/>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9. Limit intake of foods high in saturated fat</w:t>
            </w:r>
          </w:p>
        </w:tc>
        <w:tc>
          <w:tcPr>
            <w:tcW w:w="4111" w:type="dxa"/>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Trim meat: proportion of trimmed meat to total meat</w:t>
            </w:r>
          </w:p>
        </w:tc>
        <w:tc>
          <w:tcPr>
            <w:tcW w:w="2551"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 50%</w:t>
            </w:r>
          </w:p>
        </w:tc>
        <w:tc>
          <w:tcPr>
            <w:tcW w:w="2127"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0%</w:t>
            </w:r>
          </w:p>
        </w:tc>
        <w:tc>
          <w:tcPr>
            <w:tcW w:w="1984"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5</w:t>
            </w:r>
          </w:p>
        </w:tc>
      </w:tr>
      <w:tr w:rsidR="00CE3404" w:rsidTr="00CE3404">
        <w:trPr>
          <w:trHeight w:val="675"/>
        </w:trPr>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4111" w:type="dxa"/>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Choose reduced-fat milk: proportion of reduced-fat milk to total milk intake per day</w:t>
            </w:r>
          </w:p>
        </w:tc>
        <w:tc>
          <w:tcPr>
            <w:tcW w:w="2551"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 50% reduced-fat milk</w:t>
            </w:r>
          </w:p>
        </w:tc>
        <w:tc>
          <w:tcPr>
            <w:tcW w:w="2127"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0%</w:t>
            </w:r>
          </w:p>
        </w:tc>
        <w:tc>
          <w:tcPr>
            <w:tcW w:w="1984"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5</w:t>
            </w:r>
          </w:p>
        </w:tc>
      </w:tr>
      <w:tr w:rsidR="00CE3404" w:rsidTr="00CE3404">
        <w:trPr>
          <w:trHeight w:val="300"/>
        </w:trPr>
        <w:tc>
          <w:tcPr>
            <w:tcW w:w="2977" w:type="dxa"/>
            <w:vMerge w:val="restart"/>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10. Small allowance of unsaturated oils, fats or spreads</w:t>
            </w:r>
          </w:p>
        </w:tc>
        <w:tc>
          <w:tcPr>
            <w:tcW w:w="4111" w:type="dxa"/>
            <w:vMerge w:val="restart"/>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Unsaturated spreads and oils: servings per day</w:t>
            </w:r>
          </w:p>
        </w:tc>
        <w:tc>
          <w:tcPr>
            <w:tcW w:w="2551"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19-50 y: M ≤ 4, F ≤ 2</w:t>
            </w:r>
          </w:p>
        </w:tc>
        <w:tc>
          <w:tcPr>
            <w:tcW w:w="2127" w:type="dxa"/>
            <w:vMerge w:val="restart"/>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M &gt; 4; F &gt; 2</w:t>
            </w:r>
          </w:p>
        </w:tc>
        <w:tc>
          <w:tcPr>
            <w:tcW w:w="1984" w:type="dxa"/>
            <w:vMerge w:val="restart"/>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10</w:t>
            </w:r>
          </w:p>
        </w:tc>
      </w:tr>
      <w:tr w:rsidR="00CE3404" w:rsidTr="00CE3404">
        <w:trPr>
          <w:trHeight w:val="300"/>
        </w:trPr>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2551"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51-70 y: M ≤ 4, F ≤ 2</w:t>
            </w: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r>
      <w:tr w:rsidR="00CE3404" w:rsidTr="00CE3404">
        <w:trPr>
          <w:trHeight w:val="300"/>
        </w:trPr>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2551"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&gt;70 y: M ≤ 2, F ≤ 2</w:t>
            </w: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0" w:type="auto"/>
            <w:vMerge/>
            <w:vAlign w:val="center"/>
            <w:hideMark/>
          </w:tcPr>
          <w:p w:rsidR="00CE3404" w:rsidRDefault="00CE3404">
            <w:pPr>
              <w:spacing w:after="0"/>
              <w:rPr>
                <w:rFonts w:eastAsia="Times New Roman" w:cs="Times New Roman"/>
                <w:color w:val="000000"/>
                <w:sz w:val="20"/>
                <w:szCs w:val="20"/>
                <w:lang w:eastAsia="en-AU"/>
              </w:rPr>
            </w:pPr>
          </w:p>
        </w:tc>
      </w:tr>
      <w:tr w:rsidR="00CE3404" w:rsidTr="00CE3404">
        <w:trPr>
          <w:trHeight w:val="600"/>
        </w:trPr>
        <w:tc>
          <w:tcPr>
            <w:tcW w:w="2977" w:type="dxa"/>
            <w:vMerge w:val="restart"/>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11. Limit intake of foods and drinks containing added salt</w:t>
            </w:r>
          </w:p>
        </w:tc>
        <w:tc>
          <w:tcPr>
            <w:tcW w:w="4111" w:type="dxa"/>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Salt use: salt added during cooking</w:t>
            </w:r>
          </w:p>
        </w:tc>
        <w:tc>
          <w:tcPr>
            <w:tcW w:w="2551"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Never or rarely</w:t>
            </w:r>
          </w:p>
        </w:tc>
        <w:tc>
          <w:tcPr>
            <w:tcW w:w="2127"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Usually</w:t>
            </w:r>
          </w:p>
        </w:tc>
        <w:tc>
          <w:tcPr>
            <w:tcW w:w="1984"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5</w:t>
            </w:r>
          </w:p>
        </w:tc>
      </w:tr>
      <w:tr w:rsidR="00CE3404" w:rsidTr="00CE3404">
        <w:trPr>
          <w:trHeight w:val="450"/>
        </w:trPr>
        <w:tc>
          <w:tcPr>
            <w:tcW w:w="0" w:type="auto"/>
            <w:vMerge/>
            <w:vAlign w:val="center"/>
            <w:hideMark/>
          </w:tcPr>
          <w:p w:rsidR="00CE3404" w:rsidRDefault="00CE3404">
            <w:pPr>
              <w:spacing w:after="0"/>
              <w:rPr>
                <w:rFonts w:eastAsia="Times New Roman" w:cs="Times New Roman"/>
                <w:color w:val="000000"/>
                <w:sz w:val="20"/>
                <w:szCs w:val="20"/>
                <w:lang w:eastAsia="en-AU"/>
              </w:rPr>
            </w:pPr>
          </w:p>
        </w:tc>
        <w:tc>
          <w:tcPr>
            <w:tcW w:w="4111" w:type="dxa"/>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Salt use: salt added during the meal</w:t>
            </w:r>
          </w:p>
        </w:tc>
        <w:tc>
          <w:tcPr>
            <w:tcW w:w="2551"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Never or rarely</w:t>
            </w:r>
          </w:p>
        </w:tc>
        <w:tc>
          <w:tcPr>
            <w:tcW w:w="2127"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Usually</w:t>
            </w:r>
          </w:p>
        </w:tc>
        <w:tc>
          <w:tcPr>
            <w:tcW w:w="1984"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5</w:t>
            </w:r>
          </w:p>
        </w:tc>
      </w:tr>
      <w:tr w:rsidR="00CE3404" w:rsidTr="00CE3404">
        <w:trPr>
          <w:trHeight w:val="450"/>
        </w:trPr>
        <w:tc>
          <w:tcPr>
            <w:tcW w:w="2977" w:type="dxa"/>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12. Limit intake of foods and drinks containing added sugars</w:t>
            </w:r>
          </w:p>
        </w:tc>
        <w:tc>
          <w:tcPr>
            <w:tcW w:w="4111" w:type="dxa"/>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Limit extra sugar</w:t>
            </w:r>
            <w:r>
              <w:rPr>
                <w:rFonts w:eastAsia="Times New Roman" w:cs="Times New Roman"/>
                <w:color w:val="000000"/>
                <w:sz w:val="20"/>
                <w:szCs w:val="20"/>
                <w:vertAlign w:val="superscript"/>
                <w:lang w:eastAsia="en-AU"/>
              </w:rPr>
              <w:t>6</w:t>
            </w:r>
            <w:r>
              <w:rPr>
                <w:rFonts w:eastAsia="Times New Roman" w:cs="Times New Roman"/>
                <w:color w:val="000000"/>
                <w:sz w:val="20"/>
                <w:szCs w:val="20"/>
                <w:lang w:eastAsia="en-AU"/>
              </w:rPr>
              <w:t>: servings per day</w:t>
            </w:r>
          </w:p>
        </w:tc>
        <w:tc>
          <w:tcPr>
            <w:tcW w:w="2551"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M ≤  1.5; F ≤  1.25</w:t>
            </w:r>
          </w:p>
        </w:tc>
        <w:tc>
          <w:tcPr>
            <w:tcW w:w="2127"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M &gt; 1.5; F &gt; 1.25</w:t>
            </w:r>
          </w:p>
        </w:tc>
        <w:tc>
          <w:tcPr>
            <w:tcW w:w="1984" w:type="dxa"/>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10</w:t>
            </w:r>
          </w:p>
        </w:tc>
      </w:tr>
      <w:tr w:rsidR="00CE3404" w:rsidTr="00CE3404">
        <w:trPr>
          <w:trHeight w:val="675"/>
        </w:trPr>
        <w:tc>
          <w:tcPr>
            <w:tcW w:w="2977" w:type="dxa"/>
            <w:tcBorders>
              <w:top w:val="nil"/>
              <w:left w:val="nil"/>
              <w:bottom w:val="single" w:sz="8" w:space="0" w:color="auto"/>
              <w:right w:val="nil"/>
            </w:tcBorders>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13. If you choose to drink alcohol, limit intake</w:t>
            </w:r>
          </w:p>
        </w:tc>
        <w:tc>
          <w:tcPr>
            <w:tcW w:w="4111" w:type="dxa"/>
            <w:tcBorders>
              <w:top w:val="nil"/>
              <w:left w:val="nil"/>
              <w:bottom w:val="single" w:sz="8" w:space="0" w:color="auto"/>
              <w:right w:val="nil"/>
            </w:tcBorders>
            <w:vAlign w:val="center"/>
            <w:hideMark/>
          </w:tcPr>
          <w:p w:rsidR="00CE3404" w:rsidRDefault="00CE3404">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Limit alcohol: servings per day</w:t>
            </w:r>
          </w:p>
        </w:tc>
        <w:tc>
          <w:tcPr>
            <w:tcW w:w="2551" w:type="dxa"/>
            <w:tcBorders>
              <w:top w:val="nil"/>
              <w:left w:val="nil"/>
              <w:bottom w:val="single" w:sz="8" w:space="0" w:color="auto"/>
              <w:right w:val="nil"/>
            </w:tcBorders>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 2</w:t>
            </w:r>
          </w:p>
        </w:tc>
        <w:tc>
          <w:tcPr>
            <w:tcW w:w="2127" w:type="dxa"/>
            <w:tcBorders>
              <w:top w:val="nil"/>
              <w:left w:val="nil"/>
              <w:bottom w:val="single" w:sz="8" w:space="0" w:color="auto"/>
              <w:right w:val="nil"/>
            </w:tcBorders>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&gt; 2</w:t>
            </w:r>
          </w:p>
        </w:tc>
        <w:tc>
          <w:tcPr>
            <w:tcW w:w="1984" w:type="dxa"/>
            <w:tcBorders>
              <w:top w:val="nil"/>
              <w:left w:val="nil"/>
              <w:bottom w:val="single" w:sz="8" w:space="0" w:color="auto"/>
              <w:right w:val="nil"/>
            </w:tcBorders>
            <w:vAlign w:val="center"/>
            <w:hideMark/>
          </w:tcPr>
          <w:p w:rsidR="00CE3404" w:rsidRDefault="00CE3404">
            <w:pPr>
              <w:spacing w:after="0" w:line="240" w:lineRule="auto"/>
              <w:jc w:val="center"/>
              <w:rPr>
                <w:rFonts w:eastAsia="Times New Roman" w:cs="Times New Roman"/>
                <w:color w:val="000000"/>
                <w:sz w:val="20"/>
                <w:szCs w:val="20"/>
                <w:lang w:eastAsia="en-AU"/>
              </w:rPr>
            </w:pPr>
            <w:r>
              <w:rPr>
                <w:rFonts w:eastAsia="Times New Roman" w:cs="Times New Roman"/>
                <w:color w:val="000000"/>
                <w:sz w:val="20"/>
                <w:szCs w:val="20"/>
                <w:lang w:eastAsia="en-AU"/>
              </w:rPr>
              <w:t>10</w:t>
            </w:r>
          </w:p>
        </w:tc>
      </w:tr>
    </w:tbl>
    <w:p w:rsidR="00CE3404" w:rsidRDefault="00CE3404" w:rsidP="00CE3404">
      <w:pPr>
        <w:spacing w:after="0" w:line="240" w:lineRule="auto"/>
        <w:rPr>
          <w:sz w:val="20"/>
        </w:rPr>
      </w:pPr>
      <w:r>
        <w:rPr>
          <w:sz w:val="20"/>
        </w:rPr>
        <w:t>1. Criteria for maximum scores were derived from the Australian Dietary Guidelines unless otherwise noted.</w:t>
      </w:r>
    </w:p>
    <w:p w:rsidR="00CE3404" w:rsidRDefault="00CE3404" w:rsidP="00CE3404">
      <w:pPr>
        <w:spacing w:after="0" w:line="240" w:lineRule="auto"/>
        <w:rPr>
          <w:sz w:val="20"/>
        </w:rPr>
      </w:pPr>
      <w:r>
        <w:rPr>
          <w:sz w:val="20"/>
        </w:rPr>
        <w:t>2. Food variety was measured and scored using a similar method to the Recommended Food Score.</w:t>
      </w:r>
    </w:p>
    <w:p w:rsidR="00CE3404" w:rsidRDefault="00CE3404" w:rsidP="00CE3404">
      <w:pPr>
        <w:spacing w:after="0" w:line="240" w:lineRule="auto"/>
        <w:rPr>
          <w:sz w:val="20"/>
        </w:rPr>
      </w:pPr>
      <w:r>
        <w:rPr>
          <w:sz w:val="20"/>
        </w:rPr>
        <w:t>3. Choosing reduced fat dairy is captured in the “Limit intake of foods high in saturated fat” component.</w:t>
      </w:r>
    </w:p>
    <w:p w:rsidR="00CE3404" w:rsidRDefault="00CE3404" w:rsidP="00CE3404">
      <w:pPr>
        <w:spacing w:after="0" w:line="240" w:lineRule="auto"/>
        <w:rPr>
          <w:sz w:val="20"/>
        </w:rPr>
      </w:pPr>
      <w:r>
        <w:rPr>
          <w:sz w:val="20"/>
        </w:rPr>
        <w:t>4. The Eat for Health Australian Dietary Guidelines do not have specific recommendations for beverage consumption and recommended the guidelines found in the Nutrient Reference Values for Australia and New Zealand (30).</w:t>
      </w:r>
    </w:p>
    <w:p w:rsidR="00CE3404" w:rsidRDefault="00CE3404" w:rsidP="00CE3404">
      <w:pPr>
        <w:spacing w:after="0" w:line="240" w:lineRule="auto"/>
        <w:rPr>
          <w:sz w:val="20"/>
        </w:rPr>
      </w:pPr>
      <w:r>
        <w:rPr>
          <w:sz w:val="20"/>
        </w:rPr>
        <w:t>5. The proportion of water to total beverage intake was derived from US beverage guidelines.</w:t>
      </w:r>
    </w:p>
    <w:p w:rsidR="00E85EB8" w:rsidRDefault="00CE3404" w:rsidP="008456BD">
      <w:pPr>
        <w:spacing w:after="0" w:line="240" w:lineRule="auto"/>
      </w:pPr>
      <w:r>
        <w:rPr>
          <w:sz w:val="20"/>
        </w:rPr>
        <w:t>6. Since added sugar intake is not recommended there are no cut-off values for number or recommended serves, instead half of the maximum discretionary food cut-off were used c</w:t>
      </w:r>
      <w:r w:rsidR="008456BD">
        <w:rPr>
          <w:sz w:val="20"/>
        </w:rPr>
        <w:t>onsistent with the original DGI.</w:t>
      </w:r>
      <w:bookmarkStart w:id="1" w:name="_GoBack"/>
      <w:bookmarkEnd w:id="1"/>
    </w:p>
    <w:sectPr w:rsidR="00E85EB8" w:rsidSect="008456BD">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E3FBA"/>
    <w:multiLevelType w:val="hybridMultilevel"/>
    <w:tmpl w:val="82F42A92"/>
    <w:lvl w:ilvl="0" w:tplc="65E0C664">
      <w:start w:val="14"/>
      <w:numFmt w:val="decimal"/>
      <w:lvlText w:val="(%1)"/>
      <w:lvlJc w:val="left"/>
      <w:pPr>
        <w:ind w:left="720" w:hanging="360"/>
      </w:pPr>
      <w:rPr>
        <w:rFonts w:eastAsia="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Total_Editing_Time" w:val="1"/>
  </w:docVars>
  <w:rsids>
    <w:rsidRoot w:val="00CE3404"/>
    <w:rsid w:val="00036C85"/>
    <w:rsid w:val="003A3C59"/>
    <w:rsid w:val="003E4DE0"/>
    <w:rsid w:val="004975BB"/>
    <w:rsid w:val="0079514C"/>
    <w:rsid w:val="008456BD"/>
    <w:rsid w:val="009D1B16"/>
    <w:rsid w:val="00A65687"/>
    <w:rsid w:val="00CE3404"/>
    <w:rsid w:val="00D01E2C"/>
    <w:rsid w:val="00E85EB8"/>
    <w:rsid w:val="00FF2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04"/>
    <w:pPr>
      <w:spacing w:after="200" w:line="276" w:lineRule="auto"/>
    </w:pPr>
    <w:rPr>
      <w:lang w:val="en-GB"/>
    </w:rPr>
  </w:style>
  <w:style w:type="paragraph" w:styleId="Heading1">
    <w:name w:val="heading 1"/>
    <w:basedOn w:val="Normal"/>
    <w:link w:val="Heading1Char"/>
    <w:uiPriority w:val="9"/>
    <w:qFormat/>
    <w:rsid w:val="00CE34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E3404"/>
    <w:pPr>
      <w:keepNext/>
      <w:keepLines/>
      <w:spacing w:before="200" w:after="0"/>
      <w:outlineLvl w:val="1"/>
    </w:pPr>
    <w:rPr>
      <w:rFonts w:asciiTheme="majorHAnsi" w:eastAsiaTheme="majorEastAsia" w:hAnsiTheme="majorHAnsi" w:cstheme="majorBidi"/>
      <w:b/>
      <w:bCs/>
      <w:color w:val="5B9BD5"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404"/>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semiHidden/>
    <w:rsid w:val="00CE3404"/>
    <w:rPr>
      <w:rFonts w:asciiTheme="majorHAnsi" w:eastAsiaTheme="majorEastAsia" w:hAnsiTheme="majorHAnsi" w:cstheme="majorBidi"/>
      <w:b/>
      <w:bCs/>
      <w:color w:val="5B9BD5" w:themeColor="accent1"/>
      <w:sz w:val="26"/>
      <w:szCs w:val="26"/>
      <w:lang w:val="en-GB" w:eastAsia="en-GB"/>
    </w:rPr>
  </w:style>
  <w:style w:type="character" w:styleId="Hyperlink">
    <w:name w:val="Hyperlink"/>
    <w:basedOn w:val="DefaultParagraphFont"/>
    <w:uiPriority w:val="99"/>
    <w:semiHidden/>
    <w:unhideWhenUsed/>
    <w:rsid w:val="00CE3404"/>
    <w:rPr>
      <w:color w:val="0000FF"/>
      <w:u w:val="single"/>
    </w:rPr>
  </w:style>
  <w:style w:type="character" w:styleId="FollowedHyperlink">
    <w:name w:val="FollowedHyperlink"/>
    <w:basedOn w:val="DefaultParagraphFont"/>
    <w:uiPriority w:val="99"/>
    <w:semiHidden/>
    <w:unhideWhenUsed/>
    <w:rsid w:val="00CE3404"/>
    <w:rPr>
      <w:color w:val="954F72" w:themeColor="followedHyperlink"/>
      <w:u w:val="single"/>
    </w:rPr>
  </w:style>
  <w:style w:type="paragraph" w:styleId="NormalWeb">
    <w:name w:val="Normal (Web)"/>
    <w:basedOn w:val="Normal"/>
    <w:uiPriority w:val="99"/>
    <w:semiHidden/>
    <w:unhideWhenUsed/>
    <w:rsid w:val="00CE34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CE3404"/>
    <w:pPr>
      <w:spacing w:line="240" w:lineRule="auto"/>
    </w:pPr>
    <w:rPr>
      <w:sz w:val="20"/>
      <w:szCs w:val="20"/>
    </w:rPr>
  </w:style>
  <w:style w:type="character" w:customStyle="1" w:styleId="CommentTextChar">
    <w:name w:val="Comment Text Char"/>
    <w:basedOn w:val="DefaultParagraphFont"/>
    <w:link w:val="CommentText"/>
    <w:uiPriority w:val="99"/>
    <w:semiHidden/>
    <w:rsid w:val="00CE3404"/>
    <w:rPr>
      <w:sz w:val="20"/>
      <w:szCs w:val="20"/>
      <w:lang w:val="en-GB"/>
    </w:rPr>
  </w:style>
  <w:style w:type="paragraph" w:styleId="Header">
    <w:name w:val="header"/>
    <w:basedOn w:val="Normal"/>
    <w:link w:val="HeaderChar"/>
    <w:uiPriority w:val="99"/>
    <w:semiHidden/>
    <w:unhideWhenUsed/>
    <w:rsid w:val="00CE34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3404"/>
    <w:rPr>
      <w:lang w:val="en-GB"/>
    </w:rPr>
  </w:style>
  <w:style w:type="paragraph" w:styleId="Footer">
    <w:name w:val="footer"/>
    <w:basedOn w:val="Normal"/>
    <w:link w:val="FooterChar"/>
    <w:uiPriority w:val="99"/>
    <w:semiHidden/>
    <w:unhideWhenUsed/>
    <w:rsid w:val="00CE34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E3404"/>
    <w:rPr>
      <w:lang w:val="en-GB"/>
    </w:rPr>
  </w:style>
  <w:style w:type="paragraph" w:styleId="EndnoteText">
    <w:name w:val="endnote text"/>
    <w:basedOn w:val="Normal"/>
    <w:link w:val="EndnoteTextChar"/>
    <w:uiPriority w:val="99"/>
    <w:semiHidden/>
    <w:unhideWhenUsed/>
    <w:rsid w:val="00CE34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3404"/>
    <w:rPr>
      <w:sz w:val="20"/>
      <w:szCs w:val="20"/>
      <w:lang w:val="en-GB"/>
    </w:rPr>
  </w:style>
  <w:style w:type="paragraph" w:styleId="PlainText">
    <w:name w:val="Plain Text"/>
    <w:basedOn w:val="Normal"/>
    <w:link w:val="PlainTextChar"/>
    <w:uiPriority w:val="99"/>
    <w:semiHidden/>
    <w:unhideWhenUsed/>
    <w:rsid w:val="00CE3404"/>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E3404"/>
    <w:rPr>
      <w:rFonts w:ascii="Calibri" w:eastAsia="Times New Roman" w:hAnsi="Calibri" w:cs="Times New Roman"/>
      <w:szCs w:val="21"/>
      <w:lang w:val="en-GB"/>
    </w:rPr>
  </w:style>
  <w:style w:type="paragraph" w:styleId="CommentSubject">
    <w:name w:val="annotation subject"/>
    <w:basedOn w:val="CommentText"/>
    <w:next w:val="CommentText"/>
    <w:link w:val="CommentSubjectChar"/>
    <w:uiPriority w:val="99"/>
    <w:semiHidden/>
    <w:unhideWhenUsed/>
    <w:rsid w:val="00CE3404"/>
    <w:rPr>
      <w:b/>
      <w:bCs/>
    </w:rPr>
  </w:style>
  <w:style w:type="character" w:customStyle="1" w:styleId="CommentSubjectChar">
    <w:name w:val="Comment Subject Char"/>
    <w:basedOn w:val="CommentTextChar"/>
    <w:link w:val="CommentSubject"/>
    <w:uiPriority w:val="99"/>
    <w:semiHidden/>
    <w:rsid w:val="00CE3404"/>
    <w:rPr>
      <w:b/>
      <w:bCs/>
      <w:sz w:val="20"/>
      <w:szCs w:val="20"/>
      <w:lang w:val="en-GB"/>
    </w:rPr>
  </w:style>
  <w:style w:type="paragraph" w:styleId="BalloonText">
    <w:name w:val="Balloon Text"/>
    <w:basedOn w:val="Normal"/>
    <w:link w:val="BalloonTextChar"/>
    <w:uiPriority w:val="99"/>
    <w:semiHidden/>
    <w:unhideWhenUsed/>
    <w:rsid w:val="00CE3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404"/>
    <w:rPr>
      <w:rFonts w:ascii="Tahoma" w:hAnsi="Tahoma" w:cs="Tahoma"/>
      <w:sz w:val="16"/>
      <w:szCs w:val="16"/>
      <w:lang w:val="en-GB"/>
    </w:rPr>
  </w:style>
  <w:style w:type="paragraph" w:styleId="Revision">
    <w:name w:val="Revision"/>
    <w:uiPriority w:val="99"/>
    <w:semiHidden/>
    <w:rsid w:val="00CE3404"/>
    <w:pPr>
      <w:spacing w:after="0" w:line="240" w:lineRule="auto"/>
    </w:pPr>
    <w:rPr>
      <w:lang w:val="en-GB"/>
    </w:rPr>
  </w:style>
  <w:style w:type="character" w:customStyle="1" w:styleId="ListParagraphChar">
    <w:name w:val="List Paragraph Char"/>
    <w:basedOn w:val="DefaultParagraphFont"/>
    <w:link w:val="ListParagraph"/>
    <w:uiPriority w:val="34"/>
    <w:locked/>
    <w:rsid w:val="00CE3404"/>
    <w:rPr>
      <w:rFonts w:ascii="Times New Roman" w:eastAsia="Times New Roman" w:hAnsi="Times New Roman" w:cs="Times New Roman"/>
    </w:rPr>
  </w:style>
  <w:style w:type="paragraph" w:styleId="ListParagraph">
    <w:name w:val="List Paragraph"/>
    <w:basedOn w:val="Normal"/>
    <w:link w:val="ListParagraphChar"/>
    <w:uiPriority w:val="34"/>
    <w:qFormat/>
    <w:rsid w:val="00CE3404"/>
    <w:pPr>
      <w:ind w:left="720"/>
      <w:contextualSpacing/>
    </w:pPr>
    <w:rPr>
      <w:rFonts w:ascii="Times New Roman" w:eastAsia="Times New Roman" w:hAnsi="Times New Roman" w:cs="Times New Roman"/>
      <w:lang w:val="en-AU"/>
    </w:rPr>
  </w:style>
  <w:style w:type="paragraph" w:customStyle="1" w:styleId="Title1">
    <w:name w:val="Title1"/>
    <w:basedOn w:val="Normal"/>
    <w:uiPriority w:val="99"/>
    <w:semiHidden/>
    <w:rsid w:val="00CE34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uiPriority w:val="99"/>
    <w:semiHidden/>
    <w:rsid w:val="00CE34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uiPriority w:val="99"/>
    <w:semiHidden/>
    <w:rsid w:val="00CE34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2">
    <w:name w:val="Title2"/>
    <w:basedOn w:val="Normal"/>
    <w:uiPriority w:val="99"/>
    <w:semiHidden/>
    <w:rsid w:val="00CE34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DefaultParagraphFont"/>
    <w:link w:val="EndNoteBibliographyTitle"/>
    <w:semiHidden/>
    <w:locked/>
    <w:rsid w:val="00CE3404"/>
    <w:rPr>
      <w:rFonts w:ascii="Calibri" w:hAnsi="Calibri"/>
      <w:noProof/>
      <w:lang w:val="en-US"/>
    </w:rPr>
  </w:style>
  <w:style w:type="paragraph" w:customStyle="1" w:styleId="EndNoteBibliographyTitle">
    <w:name w:val="EndNote Bibliography Title"/>
    <w:basedOn w:val="Normal"/>
    <w:link w:val="EndNoteBibliographyTitleChar"/>
    <w:semiHidden/>
    <w:rsid w:val="00CE3404"/>
    <w:pPr>
      <w:spacing w:after="0"/>
      <w:jc w:val="center"/>
    </w:pPr>
    <w:rPr>
      <w:rFonts w:ascii="Calibri" w:hAnsi="Calibri"/>
      <w:noProof/>
      <w:lang w:val="en-US"/>
    </w:rPr>
  </w:style>
  <w:style w:type="character" w:customStyle="1" w:styleId="EndNoteBibliographyChar">
    <w:name w:val="EndNote Bibliography Char"/>
    <w:basedOn w:val="DefaultParagraphFont"/>
    <w:link w:val="EndNoteBibliography"/>
    <w:semiHidden/>
    <w:locked/>
    <w:rsid w:val="00CE3404"/>
    <w:rPr>
      <w:rFonts w:ascii="Calibri" w:hAnsi="Calibri"/>
      <w:noProof/>
      <w:lang w:val="en-US"/>
    </w:rPr>
  </w:style>
  <w:style w:type="paragraph" w:customStyle="1" w:styleId="EndNoteBibliography">
    <w:name w:val="EndNote Bibliography"/>
    <w:basedOn w:val="Normal"/>
    <w:link w:val="EndNoteBibliographyChar"/>
    <w:semiHidden/>
    <w:rsid w:val="00CE3404"/>
    <w:pPr>
      <w:spacing w:line="240" w:lineRule="auto"/>
    </w:pPr>
    <w:rPr>
      <w:rFonts w:ascii="Calibri" w:hAnsi="Calibri"/>
      <w:noProof/>
      <w:lang w:val="en-US"/>
    </w:rPr>
  </w:style>
  <w:style w:type="paragraph" w:customStyle="1" w:styleId="Title3">
    <w:name w:val="Title3"/>
    <w:basedOn w:val="Normal"/>
    <w:uiPriority w:val="99"/>
    <w:semiHidden/>
    <w:rsid w:val="00CE34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E3404"/>
    <w:rPr>
      <w:sz w:val="16"/>
      <w:szCs w:val="16"/>
    </w:rPr>
  </w:style>
  <w:style w:type="character" w:styleId="EndnoteReference">
    <w:name w:val="endnote reference"/>
    <w:basedOn w:val="DefaultParagraphFont"/>
    <w:uiPriority w:val="99"/>
    <w:semiHidden/>
    <w:unhideWhenUsed/>
    <w:rsid w:val="00CE3404"/>
    <w:rPr>
      <w:vertAlign w:val="superscript"/>
    </w:rPr>
  </w:style>
  <w:style w:type="character" w:styleId="PlaceholderText">
    <w:name w:val="Placeholder Text"/>
    <w:basedOn w:val="DefaultParagraphFont"/>
    <w:uiPriority w:val="99"/>
    <w:semiHidden/>
    <w:rsid w:val="00CE3404"/>
    <w:rPr>
      <w:color w:val="808080"/>
    </w:rPr>
  </w:style>
  <w:style w:type="character" w:customStyle="1" w:styleId="result">
    <w:name w:val="result"/>
    <w:basedOn w:val="DefaultParagraphFont"/>
    <w:rsid w:val="00CE3404"/>
    <w:rPr>
      <w:color w:val="000080"/>
    </w:rPr>
  </w:style>
  <w:style w:type="character" w:customStyle="1" w:styleId="apple-converted-space">
    <w:name w:val="apple-converted-space"/>
    <w:basedOn w:val="DefaultParagraphFont"/>
    <w:rsid w:val="00CE3404"/>
  </w:style>
  <w:style w:type="character" w:customStyle="1" w:styleId="highlight">
    <w:name w:val="highlight"/>
    <w:basedOn w:val="DefaultParagraphFont"/>
    <w:rsid w:val="00CE3404"/>
  </w:style>
  <w:style w:type="character" w:customStyle="1" w:styleId="jrnl">
    <w:name w:val="jrnl"/>
    <w:basedOn w:val="DefaultParagraphFont"/>
    <w:rsid w:val="00CE3404"/>
  </w:style>
  <w:style w:type="character" w:customStyle="1" w:styleId="citation-abbreviation">
    <w:name w:val="citation-abbreviation"/>
    <w:basedOn w:val="DefaultParagraphFont"/>
    <w:rsid w:val="00CE3404"/>
  </w:style>
  <w:style w:type="character" w:customStyle="1" w:styleId="citation-publication-date">
    <w:name w:val="citation-publication-date"/>
    <w:basedOn w:val="DefaultParagraphFont"/>
    <w:rsid w:val="00CE3404"/>
  </w:style>
  <w:style w:type="character" w:customStyle="1" w:styleId="citation-volume">
    <w:name w:val="citation-volume"/>
    <w:basedOn w:val="DefaultParagraphFont"/>
    <w:rsid w:val="00CE3404"/>
  </w:style>
  <w:style w:type="character" w:customStyle="1" w:styleId="citation-issue">
    <w:name w:val="citation-issue"/>
    <w:basedOn w:val="DefaultParagraphFont"/>
    <w:rsid w:val="00CE3404"/>
  </w:style>
  <w:style w:type="character" w:customStyle="1" w:styleId="citation-flpages">
    <w:name w:val="citation-flpages"/>
    <w:basedOn w:val="DefaultParagraphFont"/>
    <w:rsid w:val="00CE3404"/>
  </w:style>
  <w:style w:type="character" w:customStyle="1" w:styleId="fm-vol-iss-date">
    <w:name w:val="fm-vol-iss-date"/>
    <w:basedOn w:val="DefaultParagraphFont"/>
    <w:rsid w:val="00CE3404"/>
  </w:style>
  <w:style w:type="character" w:customStyle="1" w:styleId="doi">
    <w:name w:val="doi"/>
    <w:basedOn w:val="DefaultParagraphFont"/>
    <w:rsid w:val="00CE3404"/>
  </w:style>
  <w:style w:type="character" w:customStyle="1" w:styleId="fm-citation-ids-label">
    <w:name w:val="fm-citation-ids-label"/>
    <w:basedOn w:val="DefaultParagraphFont"/>
    <w:rsid w:val="00CE3404"/>
  </w:style>
  <w:style w:type="character" w:customStyle="1" w:styleId="cit-name-surname">
    <w:name w:val="cit-name-surname"/>
    <w:basedOn w:val="DefaultParagraphFont"/>
    <w:rsid w:val="00CE3404"/>
  </w:style>
  <w:style w:type="character" w:customStyle="1" w:styleId="cit-name-given-names">
    <w:name w:val="cit-name-given-names"/>
    <w:basedOn w:val="DefaultParagraphFont"/>
    <w:rsid w:val="00CE3404"/>
  </w:style>
  <w:style w:type="character" w:customStyle="1" w:styleId="cit-etal">
    <w:name w:val="cit-etal"/>
    <w:basedOn w:val="DefaultParagraphFont"/>
    <w:rsid w:val="00CE3404"/>
  </w:style>
  <w:style w:type="character" w:customStyle="1" w:styleId="cit-article-title">
    <w:name w:val="cit-article-title"/>
    <w:basedOn w:val="DefaultParagraphFont"/>
    <w:rsid w:val="00CE3404"/>
  </w:style>
  <w:style w:type="character" w:customStyle="1" w:styleId="cit-pub-date">
    <w:name w:val="cit-pub-date"/>
    <w:basedOn w:val="DefaultParagraphFont"/>
    <w:rsid w:val="00CE3404"/>
  </w:style>
  <w:style w:type="character" w:customStyle="1" w:styleId="cit-vol">
    <w:name w:val="cit-vol"/>
    <w:basedOn w:val="DefaultParagraphFont"/>
    <w:rsid w:val="00CE3404"/>
  </w:style>
  <w:style w:type="character" w:customStyle="1" w:styleId="cit-fpage">
    <w:name w:val="cit-fpage"/>
    <w:basedOn w:val="DefaultParagraphFont"/>
    <w:rsid w:val="00CE3404"/>
  </w:style>
  <w:style w:type="character" w:customStyle="1" w:styleId="cit-lpage">
    <w:name w:val="cit-lpage"/>
    <w:basedOn w:val="DefaultParagraphFont"/>
    <w:rsid w:val="00CE3404"/>
  </w:style>
  <w:style w:type="character" w:customStyle="1" w:styleId="ref-label">
    <w:name w:val="ref-label"/>
    <w:basedOn w:val="DefaultParagraphFont"/>
    <w:rsid w:val="00CE3404"/>
  </w:style>
  <w:style w:type="character" w:customStyle="1" w:styleId="ref">
    <w:name w:val="ref"/>
    <w:basedOn w:val="DefaultParagraphFont"/>
    <w:rsid w:val="00CE3404"/>
  </w:style>
  <w:style w:type="character" w:customStyle="1" w:styleId="st">
    <w:name w:val="st"/>
    <w:basedOn w:val="DefaultParagraphFont"/>
    <w:rsid w:val="00CE3404"/>
  </w:style>
  <w:style w:type="table" w:styleId="TableGrid">
    <w:name w:val="Table Grid"/>
    <w:basedOn w:val="TableNormal"/>
    <w:uiPriority w:val="59"/>
    <w:rsid w:val="00CE340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semiHidden/>
    <w:unhideWhenUsed/>
    <w:rsid w:val="00CE3404"/>
    <w:pPr>
      <w:spacing w:after="0" w:line="240" w:lineRule="auto"/>
    </w:pPr>
    <w:rPr>
      <w:rFonts w:eastAsiaTheme="minorEastAsia"/>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r="http://schemas.openxmlformats.org/officeDocument/2006/relationships" xmlns:w="http://schemas.openxmlformats.org/wordprocessingml/2006/main">
  <w:divs>
    <w:div w:id="8126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2754</Characters>
  <Application>Microsoft Office Word</Application>
  <DocSecurity>0</DocSecurity>
  <Lines>196</Lines>
  <Paragraphs>136</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Livingstone</dc:creator>
  <cp:keywords/>
  <dc:description/>
  <cp:lastModifiedBy>S3G_Apply_Fixed_Case</cp:lastModifiedBy>
  <cp:revision>4</cp:revision>
  <dcterms:created xsi:type="dcterms:W3CDTF">2017-10-12T05:16:00Z</dcterms:created>
  <dcterms:modified xsi:type="dcterms:W3CDTF">2018-01-23T10:36:00Z</dcterms:modified>
</cp:coreProperties>
</file>