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CEC" w:rsidRPr="00A15CD2" w:rsidRDefault="00CC4CEC" w:rsidP="00CC4CEC">
      <w:pPr>
        <w:spacing w:line="360" w:lineRule="auto"/>
        <w:rPr>
          <w:b/>
          <w:sz w:val="24"/>
        </w:rPr>
      </w:pPr>
      <w:r>
        <w:rPr>
          <w:rFonts w:hint="eastAsia"/>
          <w:b/>
          <w:sz w:val="24"/>
        </w:rPr>
        <w:t>I</w:t>
      </w:r>
      <w:r w:rsidRPr="00A15CD2">
        <w:rPr>
          <w:b/>
          <w:sz w:val="24"/>
        </w:rPr>
        <w:t>solation</w:t>
      </w:r>
      <w:r>
        <w:rPr>
          <w:rFonts w:hint="eastAsia"/>
          <w:b/>
          <w:sz w:val="24"/>
        </w:rPr>
        <w:t>,</w:t>
      </w:r>
      <w:r w:rsidRPr="00A15CD2">
        <w:rPr>
          <w:b/>
          <w:sz w:val="24"/>
        </w:rPr>
        <w:t xml:space="preserve"> </w:t>
      </w:r>
      <w:r>
        <w:rPr>
          <w:rFonts w:hint="eastAsia"/>
          <w:b/>
          <w:sz w:val="24"/>
        </w:rPr>
        <w:t>c</w:t>
      </w:r>
      <w:r w:rsidRPr="00A15CD2">
        <w:rPr>
          <w:b/>
          <w:sz w:val="24"/>
        </w:rPr>
        <w:t>ulture</w:t>
      </w:r>
      <w:r w:rsidRPr="00A15CD2">
        <w:rPr>
          <w:rFonts w:hint="eastAsia"/>
          <w:b/>
          <w:sz w:val="24"/>
        </w:rPr>
        <w:t xml:space="preserve"> </w:t>
      </w:r>
      <w:r>
        <w:rPr>
          <w:rFonts w:hint="eastAsia"/>
          <w:b/>
          <w:sz w:val="24"/>
        </w:rPr>
        <w:t xml:space="preserve">of </w:t>
      </w:r>
      <w:r w:rsidRPr="00A15CD2">
        <w:rPr>
          <w:rFonts w:hint="eastAsia"/>
          <w:b/>
          <w:sz w:val="24"/>
        </w:rPr>
        <w:t>h</w:t>
      </w:r>
      <w:r w:rsidRPr="00A15CD2">
        <w:rPr>
          <w:b/>
          <w:sz w:val="24"/>
        </w:rPr>
        <w:t xml:space="preserve">PMSCs </w:t>
      </w:r>
    </w:p>
    <w:p w:rsidR="000D36C9" w:rsidRDefault="00CC4CEC" w:rsidP="00CC4CEC">
      <w:r w:rsidRPr="00B85999">
        <w:rPr>
          <w:sz w:val="24"/>
        </w:rPr>
        <w:t xml:space="preserve">The use of human tissue was approved by the Institutional Ethics Committee. Human </w:t>
      </w:r>
      <w:bookmarkStart w:id="0" w:name="OLE_LINK35"/>
      <w:bookmarkStart w:id="1" w:name="OLE_LINK39"/>
      <w:r w:rsidRPr="00B85999">
        <w:rPr>
          <w:sz w:val="24"/>
        </w:rPr>
        <w:t>placentas</w:t>
      </w:r>
      <w:bookmarkEnd w:id="0"/>
      <w:bookmarkEnd w:id="1"/>
      <w:r w:rsidRPr="00B85999">
        <w:rPr>
          <w:sz w:val="24"/>
        </w:rPr>
        <w:t xml:space="preserve"> were collected from pregnant women who were negative for HIV-I, hepatitis B, and hepatitis C under written and informed consent. The placentas were mechanically minced and digested with 0.1% collagenase IV (Gibco) for 30 min at </w:t>
      </w:r>
      <w:smartTag w:uri="urn:schemas-microsoft-com:office:smarttags" w:element="chmetcnv">
        <w:smartTagPr>
          <w:attr w:name="TCSC" w:val="0"/>
          <w:attr w:name="NumberType" w:val="1"/>
          <w:attr w:name="Negative" w:val="False"/>
          <w:attr w:name="HasSpace" w:val="False"/>
          <w:attr w:name="SourceValue" w:val="37"/>
          <w:attr w:name="UnitName" w:val="℃"/>
        </w:smartTagPr>
        <w:r w:rsidRPr="00B85999">
          <w:rPr>
            <w:sz w:val="24"/>
          </w:rPr>
          <w:t>37</w:t>
        </w:r>
        <w:r w:rsidRPr="00B85999">
          <w:rPr>
            <w:rFonts w:ascii="宋体" w:hAnsi="宋体"/>
            <w:sz w:val="24"/>
          </w:rPr>
          <w:t>℃</w:t>
        </w:r>
      </w:smartTag>
      <w:r w:rsidRPr="00B85999">
        <w:rPr>
          <w:sz w:val="24"/>
        </w:rPr>
        <w:t xml:space="preserve">. The </w:t>
      </w:r>
      <w:smartTag w:uri="urn:schemas-microsoft-com:office:smarttags" w:element="chmetcnv">
        <w:smartTagPr>
          <w:attr w:name="TCSC" w:val="0"/>
          <w:attr w:name="NumberType" w:val="1"/>
          <w:attr w:name="Negative" w:val="False"/>
          <w:attr w:name="HasSpace" w:val="True"/>
          <w:attr w:name="SourceValue" w:val="100"/>
          <w:attr w:name="UnitName" w:val="mm"/>
        </w:smartTagPr>
        <w:r w:rsidRPr="00B85999">
          <w:rPr>
            <w:sz w:val="24"/>
          </w:rPr>
          <w:t>100 mm</w:t>
        </w:r>
      </w:smartTag>
      <w:r w:rsidRPr="00B85999">
        <w:rPr>
          <w:sz w:val="24"/>
        </w:rPr>
        <w:t xml:space="preserve"> nylon membranes were used to remove undigested tissue fragments. Cells were collected and then centrifuged at </w:t>
      </w:r>
      <w:smartTag w:uri="urn:schemas-microsoft-com:office:smarttags" w:element="chmetcnv">
        <w:smartTagPr>
          <w:attr w:name="TCSC" w:val="0"/>
          <w:attr w:name="NumberType" w:val="1"/>
          <w:attr w:name="Negative" w:val="False"/>
          <w:attr w:name="HasSpace" w:val="False"/>
          <w:attr w:name="SourceValue" w:val="1000"/>
          <w:attr w:name="UnitName" w:val="g"/>
        </w:smartTagPr>
        <w:r w:rsidRPr="00B85999">
          <w:rPr>
            <w:sz w:val="24"/>
          </w:rPr>
          <w:t>1000g</w:t>
        </w:r>
      </w:smartTag>
      <w:r w:rsidRPr="00B85999">
        <w:rPr>
          <w:sz w:val="24"/>
        </w:rPr>
        <w:t xml:space="preserve"> for 10 min to remove the </w:t>
      </w:r>
      <w:bookmarkStart w:id="2" w:name="OLE_LINK11"/>
      <w:r w:rsidRPr="00B85999">
        <w:rPr>
          <w:sz w:val="24"/>
        </w:rPr>
        <w:t>harvest buffer</w:t>
      </w:r>
      <w:bookmarkEnd w:id="2"/>
      <w:r w:rsidRPr="00B85999">
        <w:rPr>
          <w:sz w:val="24"/>
        </w:rPr>
        <w:t xml:space="preserve">. The isolated cells were resuspended in low glucose Dulbecco’s modified Eagle’s Medium (DMEM, Gibco) supplemented with 10% fetal bovine serum (FBS) and were cultured at </w:t>
      </w:r>
      <w:smartTag w:uri="urn:schemas-microsoft-com:office:smarttags" w:element="chmetcnv">
        <w:smartTagPr>
          <w:attr w:name="TCSC" w:val="0"/>
          <w:attr w:name="NumberType" w:val="1"/>
          <w:attr w:name="Negative" w:val="False"/>
          <w:attr w:name="HasSpace" w:val="False"/>
          <w:attr w:name="SourceValue" w:val="37"/>
          <w:attr w:name="UnitName" w:val="℃"/>
        </w:smartTagPr>
        <w:r w:rsidRPr="00B85999">
          <w:rPr>
            <w:sz w:val="24"/>
          </w:rPr>
          <w:t>37</w:t>
        </w:r>
        <w:r w:rsidRPr="00B85999">
          <w:rPr>
            <w:rFonts w:hAnsi="宋体"/>
            <w:sz w:val="24"/>
          </w:rPr>
          <w:t>℃</w:t>
        </w:r>
      </w:smartTag>
      <w:r w:rsidRPr="00B85999">
        <w:rPr>
          <w:sz w:val="24"/>
        </w:rPr>
        <w:t xml:space="preserve"> in a humidified atmosphere with 5% CO</w:t>
      </w:r>
      <w:r w:rsidRPr="00B85999">
        <w:rPr>
          <w:sz w:val="24"/>
          <w:vertAlign w:val="subscript"/>
        </w:rPr>
        <w:t>2</w:t>
      </w:r>
      <w:r w:rsidRPr="00B85999">
        <w:rPr>
          <w:sz w:val="24"/>
        </w:rPr>
        <w:t xml:space="preserve">. </w:t>
      </w:r>
      <w:r w:rsidRPr="00B85999">
        <w:rPr>
          <w:color w:val="000000"/>
          <w:sz w:val="24"/>
        </w:rPr>
        <w:t>Cell morphology w</w:t>
      </w:r>
      <w:r>
        <w:rPr>
          <w:rFonts w:hint="eastAsia"/>
          <w:color w:val="000000"/>
          <w:sz w:val="24"/>
        </w:rPr>
        <w:t>as</w:t>
      </w:r>
      <w:r w:rsidRPr="00B85999">
        <w:rPr>
          <w:color w:val="000000"/>
          <w:sz w:val="24"/>
        </w:rPr>
        <w:t xml:space="preserve"> observed under light microscope</w:t>
      </w:r>
      <w:r>
        <w:rPr>
          <w:rFonts w:hint="eastAsia"/>
          <w:color w:val="000000"/>
          <w:sz w:val="24"/>
        </w:rPr>
        <w:t xml:space="preserve"> </w:t>
      </w:r>
      <w:r w:rsidRPr="00B85999">
        <w:rPr>
          <w:color w:val="000000"/>
          <w:kern w:val="0"/>
          <w:sz w:val="24"/>
        </w:rPr>
        <w:t>(</w:t>
      </w:r>
      <w:smartTag w:uri="urn:schemas-microsoft-com:office:smarttags" w:element="place">
        <w:smartTag w:uri="urn:schemas-microsoft-com:office:smarttags" w:element="City">
          <w:r w:rsidRPr="00B85999">
            <w:rPr>
              <w:color w:val="000000"/>
              <w:kern w:val="0"/>
              <w:sz w:val="24"/>
            </w:rPr>
            <w:t>Olympus</w:t>
          </w:r>
        </w:smartTag>
        <w:r w:rsidRPr="00B85999">
          <w:rPr>
            <w:color w:val="000000"/>
            <w:kern w:val="0"/>
            <w:sz w:val="24"/>
          </w:rPr>
          <w:t>,</w:t>
        </w:r>
        <w:r>
          <w:rPr>
            <w:rFonts w:hint="eastAsia"/>
            <w:color w:val="000000"/>
            <w:kern w:val="0"/>
            <w:sz w:val="24"/>
          </w:rPr>
          <w:t xml:space="preserve"> </w:t>
        </w:r>
        <w:smartTag w:uri="urn:schemas-microsoft-com:office:smarttags" w:element="country-region">
          <w:r w:rsidRPr="00B85999">
            <w:rPr>
              <w:color w:val="000000"/>
              <w:kern w:val="0"/>
              <w:sz w:val="24"/>
            </w:rPr>
            <w:t>Japan</w:t>
          </w:r>
        </w:smartTag>
      </w:smartTag>
      <w:r w:rsidRPr="00B85999">
        <w:rPr>
          <w:color w:val="000000"/>
          <w:kern w:val="0"/>
          <w:sz w:val="24"/>
        </w:rPr>
        <w:t>)</w:t>
      </w:r>
      <w:r w:rsidRPr="00B85999">
        <w:rPr>
          <w:color w:val="000000"/>
          <w:sz w:val="24"/>
        </w:rPr>
        <w:t xml:space="preserve">. </w:t>
      </w:r>
      <w:r w:rsidRPr="00B85999">
        <w:rPr>
          <w:color w:val="000000"/>
          <w:kern w:val="0"/>
          <w:sz w:val="24"/>
        </w:rPr>
        <w:t>For</w:t>
      </w:r>
      <w:r>
        <w:rPr>
          <w:rFonts w:hint="eastAsia"/>
          <w:color w:val="000000"/>
          <w:kern w:val="0"/>
          <w:sz w:val="24"/>
        </w:rPr>
        <w:t xml:space="preserve"> </w:t>
      </w:r>
      <w:r w:rsidRPr="00B85999">
        <w:rPr>
          <w:color w:val="000000"/>
          <w:kern w:val="0"/>
          <w:sz w:val="24"/>
        </w:rPr>
        <w:t>osteogenic</w:t>
      </w:r>
      <w:r>
        <w:rPr>
          <w:rFonts w:hint="eastAsia"/>
          <w:color w:val="000000"/>
          <w:kern w:val="0"/>
          <w:sz w:val="24"/>
        </w:rPr>
        <w:t xml:space="preserve"> </w:t>
      </w:r>
      <w:r w:rsidRPr="00B85999">
        <w:rPr>
          <w:color w:val="000000"/>
          <w:kern w:val="0"/>
          <w:sz w:val="24"/>
        </w:rPr>
        <w:t>differentiation,</w:t>
      </w:r>
      <w:r>
        <w:rPr>
          <w:rFonts w:hint="eastAsia"/>
          <w:color w:val="000000"/>
          <w:kern w:val="0"/>
          <w:sz w:val="24"/>
        </w:rPr>
        <w:t xml:space="preserve"> </w:t>
      </w:r>
      <w:r w:rsidRPr="00B85999">
        <w:rPr>
          <w:color w:val="000000"/>
          <w:kern w:val="0"/>
          <w:sz w:val="24"/>
        </w:rPr>
        <w:t>alizarin</w:t>
      </w:r>
      <w:r>
        <w:rPr>
          <w:rFonts w:hint="eastAsia"/>
          <w:color w:val="000000"/>
          <w:kern w:val="0"/>
          <w:sz w:val="24"/>
        </w:rPr>
        <w:t xml:space="preserve"> </w:t>
      </w:r>
      <w:r w:rsidRPr="00B85999">
        <w:rPr>
          <w:color w:val="000000"/>
          <w:kern w:val="0"/>
          <w:sz w:val="24"/>
        </w:rPr>
        <w:t>red</w:t>
      </w:r>
      <w:r>
        <w:rPr>
          <w:rFonts w:hint="eastAsia"/>
          <w:color w:val="000000"/>
          <w:kern w:val="0"/>
          <w:sz w:val="24"/>
        </w:rPr>
        <w:t xml:space="preserve"> </w:t>
      </w:r>
      <w:r w:rsidRPr="00B85999">
        <w:rPr>
          <w:color w:val="000000"/>
          <w:kern w:val="0"/>
          <w:sz w:val="24"/>
        </w:rPr>
        <w:t>staining</w:t>
      </w:r>
      <w:r>
        <w:rPr>
          <w:rFonts w:hint="eastAsia"/>
          <w:color w:val="000000"/>
          <w:kern w:val="0"/>
          <w:sz w:val="24"/>
        </w:rPr>
        <w:t xml:space="preserve"> </w:t>
      </w:r>
      <w:r w:rsidRPr="00B85999">
        <w:rPr>
          <w:color w:val="000000"/>
          <w:kern w:val="0"/>
          <w:sz w:val="24"/>
        </w:rPr>
        <w:t>was</w:t>
      </w:r>
      <w:r>
        <w:rPr>
          <w:rFonts w:hint="eastAsia"/>
          <w:color w:val="000000"/>
          <w:kern w:val="0"/>
          <w:sz w:val="24"/>
        </w:rPr>
        <w:t xml:space="preserve"> </w:t>
      </w:r>
      <w:r w:rsidRPr="00B85999">
        <w:rPr>
          <w:color w:val="000000"/>
          <w:kern w:val="0"/>
          <w:sz w:val="24"/>
        </w:rPr>
        <w:t>used</w:t>
      </w:r>
      <w:r>
        <w:rPr>
          <w:rFonts w:hint="eastAsia"/>
          <w:color w:val="000000"/>
          <w:kern w:val="0"/>
          <w:sz w:val="24"/>
        </w:rPr>
        <w:t xml:space="preserve"> </w:t>
      </w:r>
      <w:r w:rsidRPr="00B85999">
        <w:rPr>
          <w:color w:val="000000"/>
          <w:kern w:val="0"/>
          <w:sz w:val="24"/>
        </w:rPr>
        <w:t>to</w:t>
      </w:r>
      <w:r>
        <w:rPr>
          <w:rFonts w:hint="eastAsia"/>
          <w:color w:val="000000"/>
          <w:kern w:val="0"/>
          <w:sz w:val="24"/>
        </w:rPr>
        <w:t xml:space="preserve"> </w:t>
      </w:r>
      <w:r w:rsidRPr="00B85999">
        <w:rPr>
          <w:color w:val="000000"/>
          <w:kern w:val="0"/>
          <w:sz w:val="24"/>
        </w:rPr>
        <w:t>identify</w:t>
      </w:r>
      <w:r>
        <w:rPr>
          <w:rFonts w:hint="eastAsia"/>
          <w:color w:val="000000"/>
          <w:kern w:val="0"/>
          <w:sz w:val="24"/>
        </w:rPr>
        <w:t xml:space="preserve"> </w:t>
      </w:r>
      <w:r w:rsidRPr="00B85999">
        <w:rPr>
          <w:color w:val="000000"/>
          <w:kern w:val="0"/>
          <w:sz w:val="24"/>
        </w:rPr>
        <w:t>osteoblast-like</w:t>
      </w:r>
      <w:r>
        <w:rPr>
          <w:rFonts w:hint="eastAsia"/>
          <w:color w:val="000000"/>
          <w:kern w:val="0"/>
          <w:sz w:val="24"/>
        </w:rPr>
        <w:t xml:space="preserve"> </w:t>
      </w:r>
      <w:r w:rsidRPr="00B85999">
        <w:rPr>
          <w:color w:val="000000"/>
          <w:kern w:val="0"/>
          <w:sz w:val="24"/>
        </w:rPr>
        <w:t>cells.</w:t>
      </w:r>
      <w:r>
        <w:rPr>
          <w:rFonts w:hint="eastAsia"/>
          <w:color w:val="000000"/>
          <w:kern w:val="0"/>
          <w:sz w:val="24"/>
        </w:rPr>
        <w:t xml:space="preserve"> </w:t>
      </w:r>
      <w:r w:rsidRPr="00B85999">
        <w:rPr>
          <w:color w:val="000000"/>
          <w:kern w:val="0"/>
          <w:sz w:val="24"/>
        </w:rPr>
        <w:t>For</w:t>
      </w:r>
      <w:r>
        <w:rPr>
          <w:rFonts w:hint="eastAsia"/>
          <w:color w:val="000000"/>
          <w:kern w:val="0"/>
          <w:sz w:val="24"/>
        </w:rPr>
        <w:t xml:space="preserve"> </w:t>
      </w:r>
      <w:r w:rsidRPr="00B85999">
        <w:rPr>
          <w:color w:val="000000"/>
          <w:kern w:val="0"/>
          <w:sz w:val="24"/>
        </w:rPr>
        <w:t>adipogenic</w:t>
      </w:r>
      <w:r>
        <w:rPr>
          <w:rFonts w:hint="eastAsia"/>
          <w:color w:val="000000"/>
          <w:kern w:val="0"/>
          <w:sz w:val="24"/>
        </w:rPr>
        <w:t xml:space="preserve"> </w:t>
      </w:r>
      <w:r w:rsidRPr="00B85999">
        <w:rPr>
          <w:color w:val="000000"/>
          <w:kern w:val="0"/>
          <w:sz w:val="24"/>
        </w:rPr>
        <w:t>differentiation,</w:t>
      </w:r>
      <w:r>
        <w:rPr>
          <w:rFonts w:hint="eastAsia"/>
          <w:color w:val="000000"/>
          <w:kern w:val="0"/>
          <w:sz w:val="24"/>
        </w:rPr>
        <w:t xml:space="preserve"> </w:t>
      </w:r>
      <w:r w:rsidRPr="00B85999">
        <w:rPr>
          <w:color w:val="000000"/>
          <w:kern w:val="0"/>
          <w:sz w:val="24"/>
        </w:rPr>
        <w:t>Oil</w:t>
      </w:r>
      <w:r>
        <w:rPr>
          <w:rFonts w:hint="eastAsia"/>
          <w:color w:val="000000"/>
          <w:kern w:val="0"/>
          <w:sz w:val="24"/>
        </w:rPr>
        <w:t xml:space="preserve"> </w:t>
      </w:r>
      <w:r w:rsidRPr="00B85999">
        <w:rPr>
          <w:color w:val="000000"/>
          <w:kern w:val="0"/>
          <w:sz w:val="24"/>
        </w:rPr>
        <w:t>Red</w:t>
      </w:r>
      <w:r>
        <w:rPr>
          <w:rFonts w:hint="eastAsia"/>
          <w:color w:val="000000"/>
          <w:kern w:val="0"/>
          <w:sz w:val="24"/>
        </w:rPr>
        <w:t xml:space="preserve"> </w:t>
      </w:r>
      <w:r w:rsidRPr="00B85999">
        <w:rPr>
          <w:color w:val="000000"/>
          <w:kern w:val="0"/>
          <w:sz w:val="24"/>
        </w:rPr>
        <w:t>O</w:t>
      </w:r>
      <w:r>
        <w:rPr>
          <w:rFonts w:hint="eastAsia"/>
          <w:color w:val="000000"/>
          <w:kern w:val="0"/>
          <w:sz w:val="24"/>
        </w:rPr>
        <w:t xml:space="preserve"> </w:t>
      </w:r>
      <w:r w:rsidRPr="00B85999">
        <w:rPr>
          <w:color w:val="000000"/>
          <w:kern w:val="0"/>
          <w:sz w:val="24"/>
        </w:rPr>
        <w:t>staining</w:t>
      </w:r>
      <w:r>
        <w:rPr>
          <w:rFonts w:hint="eastAsia"/>
          <w:color w:val="000000"/>
          <w:kern w:val="0"/>
          <w:sz w:val="24"/>
        </w:rPr>
        <w:t xml:space="preserve"> </w:t>
      </w:r>
      <w:r w:rsidRPr="00B85999">
        <w:rPr>
          <w:color w:val="000000"/>
          <w:kern w:val="0"/>
          <w:sz w:val="24"/>
        </w:rPr>
        <w:t>was</w:t>
      </w:r>
      <w:r>
        <w:rPr>
          <w:rFonts w:hint="eastAsia"/>
          <w:color w:val="000000"/>
          <w:kern w:val="0"/>
          <w:sz w:val="24"/>
        </w:rPr>
        <w:t xml:space="preserve"> </w:t>
      </w:r>
      <w:r w:rsidRPr="00B85999">
        <w:rPr>
          <w:color w:val="000000"/>
          <w:kern w:val="0"/>
          <w:sz w:val="24"/>
        </w:rPr>
        <w:t>used</w:t>
      </w:r>
      <w:r>
        <w:rPr>
          <w:rFonts w:hint="eastAsia"/>
          <w:color w:val="000000"/>
          <w:kern w:val="0"/>
          <w:sz w:val="24"/>
        </w:rPr>
        <w:t xml:space="preserve"> </w:t>
      </w:r>
      <w:r>
        <w:rPr>
          <w:color w:val="000000"/>
          <w:kern w:val="0"/>
          <w:sz w:val="24"/>
        </w:rPr>
        <w:t>to</w:t>
      </w:r>
      <w:r>
        <w:rPr>
          <w:rFonts w:hint="eastAsia"/>
          <w:color w:val="000000"/>
          <w:kern w:val="0"/>
          <w:sz w:val="24"/>
        </w:rPr>
        <w:t xml:space="preserve"> </w:t>
      </w:r>
      <w:r w:rsidRPr="00B85999">
        <w:rPr>
          <w:color w:val="000000"/>
          <w:kern w:val="0"/>
          <w:sz w:val="24"/>
        </w:rPr>
        <w:t>identify</w:t>
      </w:r>
      <w:r>
        <w:rPr>
          <w:rFonts w:hint="eastAsia"/>
          <w:color w:val="000000"/>
          <w:kern w:val="0"/>
          <w:sz w:val="24"/>
        </w:rPr>
        <w:t xml:space="preserve"> </w:t>
      </w:r>
      <w:r w:rsidRPr="00B85999">
        <w:rPr>
          <w:color w:val="000000"/>
          <w:kern w:val="0"/>
          <w:sz w:val="24"/>
        </w:rPr>
        <w:t>adipose</w:t>
      </w:r>
      <w:r>
        <w:rPr>
          <w:rFonts w:hint="eastAsia"/>
          <w:color w:val="000000"/>
          <w:kern w:val="0"/>
          <w:sz w:val="24"/>
        </w:rPr>
        <w:t xml:space="preserve"> </w:t>
      </w:r>
      <w:r w:rsidRPr="00B85999">
        <w:rPr>
          <w:color w:val="000000"/>
          <w:kern w:val="0"/>
          <w:sz w:val="24"/>
        </w:rPr>
        <w:t>cells.</w:t>
      </w:r>
      <w:r>
        <w:rPr>
          <w:rFonts w:hint="eastAsia"/>
          <w:color w:val="000000"/>
          <w:kern w:val="0"/>
          <w:sz w:val="24"/>
        </w:rPr>
        <w:t xml:space="preserve"> </w:t>
      </w:r>
      <w:r w:rsidRPr="00B85999">
        <w:rPr>
          <w:color w:val="000000"/>
          <w:sz w:val="24"/>
        </w:rPr>
        <w:t>Additionally, t</w:t>
      </w:r>
      <w:r w:rsidRPr="00B85999">
        <w:rPr>
          <w:sz w:val="24"/>
        </w:rPr>
        <w:t xml:space="preserve">he membrane and intracytoplasmic molecular markers of hPMSCs were examined using flow cytometry (FCM) to confirm the phenotype of hPMSCs. Following staining the cells with specific hPMSCs surface molecules antibody with phycoerythrin-conjugated or fluorescein isothiocyanate-conjugated mouse anti-human CD19, CD73, CD105, CD90, CD34, HLA-DR and CD14 mAb (BD Biosciences and Invitrogen), the cells were sorted with </w:t>
      </w:r>
      <w:bookmarkStart w:id="3" w:name="OLE_LINK18"/>
      <w:bookmarkStart w:id="4" w:name="OLE_LINK19"/>
      <w:r w:rsidRPr="00B85999">
        <w:rPr>
          <w:sz w:val="24"/>
        </w:rPr>
        <w:t>cytometry and harvested for culture</w:t>
      </w:r>
      <w:bookmarkEnd w:id="3"/>
      <w:bookmarkEnd w:id="4"/>
      <w:r>
        <w:rPr>
          <w:rFonts w:hint="eastAsia"/>
          <w:sz w:val="24"/>
        </w:rPr>
        <w:t>.</w:t>
      </w:r>
    </w:p>
    <w:sectPr w:rsidR="000D36C9" w:rsidSect="000D36C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C4CEC"/>
    <w:rsid w:val="000045A3"/>
    <w:rsid w:val="00007B5B"/>
    <w:rsid w:val="000222F3"/>
    <w:rsid w:val="0002396F"/>
    <w:rsid w:val="0002437E"/>
    <w:rsid w:val="00051272"/>
    <w:rsid w:val="00080C30"/>
    <w:rsid w:val="000D36C9"/>
    <w:rsid w:val="00112138"/>
    <w:rsid w:val="00113921"/>
    <w:rsid w:val="00130EE5"/>
    <w:rsid w:val="001736B0"/>
    <w:rsid w:val="00174A3E"/>
    <w:rsid w:val="001B58D7"/>
    <w:rsid w:val="001D4F05"/>
    <w:rsid w:val="001F3FB1"/>
    <w:rsid w:val="00207BBE"/>
    <w:rsid w:val="002150F8"/>
    <w:rsid w:val="0021661E"/>
    <w:rsid w:val="002309D9"/>
    <w:rsid w:val="0023346C"/>
    <w:rsid w:val="00244303"/>
    <w:rsid w:val="002A12FA"/>
    <w:rsid w:val="002B01D5"/>
    <w:rsid w:val="002B138E"/>
    <w:rsid w:val="002D5BF8"/>
    <w:rsid w:val="002E172C"/>
    <w:rsid w:val="002F4EF7"/>
    <w:rsid w:val="0035387B"/>
    <w:rsid w:val="003970DD"/>
    <w:rsid w:val="003B261D"/>
    <w:rsid w:val="003C716E"/>
    <w:rsid w:val="003D184D"/>
    <w:rsid w:val="003E3935"/>
    <w:rsid w:val="003E7579"/>
    <w:rsid w:val="003F06DA"/>
    <w:rsid w:val="00404936"/>
    <w:rsid w:val="00437E8A"/>
    <w:rsid w:val="0044788D"/>
    <w:rsid w:val="00467A51"/>
    <w:rsid w:val="00472193"/>
    <w:rsid w:val="0047306D"/>
    <w:rsid w:val="004824C3"/>
    <w:rsid w:val="004B5486"/>
    <w:rsid w:val="004D4598"/>
    <w:rsid w:val="004D7547"/>
    <w:rsid w:val="00503EAC"/>
    <w:rsid w:val="005050B7"/>
    <w:rsid w:val="005059DA"/>
    <w:rsid w:val="00512B87"/>
    <w:rsid w:val="0053053B"/>
    <w:rsid w:val="005526D6"/>
    <w:rsid w:val="005622AA"/>
    <w:rsid w:val="00562B0C"/>
    <w:rsid w:val="00595FAF"/>
    <w:rsid w:val="005B3CB9"/>
    <w:rsid w:val="005C66C2"/>
    <w:rsid w:val="005D099D"/>
    <w:rsid w:val="005E5950"/>
    <w:rsid w:val="005F1F46"/>
    <w:rsid w:val="005F55F5"/>
    <w:rsid w:val="006123F4"/>
    <w:rsid w:val="00613238"/>
    <w:rsid w:val="00626E5D"/>
    <w:rsid w:val="00657CF6"/>
    <w:rsid w:val="00677371"/>
    <w:rsid w:val="006844C0"/>
    <w:rsid w:val="00684C80"/>
    <w:rsid w:val="00695E74"/>
    <w:rsid w:val="006B746F"/>
    <w:rsid w:val="006C0F3D"/>
    <w:rsid w:val="006C4BE6"/>
    <w:rsid w:val="006D1D38"/>
    <w:rsid w:val="006E6043"/>
    <w:rsid w:val="006E6F3A"/>
    <w:rsid w:val="006F2005"/>
    <w:rsid w:val="007638FC"/>
    <w:rsid w:val="007A70AB"/>
    <w:rsid w:val="007E16DE"/>
    <w:rsid w:val="007E7761"/>
    <w:rsid w:val="00804571"/>
    <w:rsid w:val="00813027"/>
    <w:rsid w:val="00837C86"/>
    <w:rsid w:val="00865CBB"/>
    <w:rsid w:val="008B1013"/>
    <w:rsid w:val="008E0AF7"/>
    <w:rsid w:val="008E33F1"/>
    <w:rsid w:val="008E7454"/>
    <w:rsid w:val="008F4DDE"/>
    <w:rsid w:val="00944AE3"/>
    <w:rsid w:val="0096343A"/>
    <w:rsid w:val="009B4150"/>
    <w:rsid w:val="009D71AF"/>
    <w:rsid w:val="009E1C7C"/>
    <w:rsid w:val="009F1BAF"/>
    <w:rsid w:val="00A12974"/>
    <w:rsid w:val="00A44D87"/>
    <w:rsid w:val="00A53568"/>
    <w:rsid w:val="00A60235"/>
    <w:rsid w:val="00A67F45"/>
    <w:rsid w:val="00A82307"/>
    <w:rsid w:val="00A82D2E"/>
    <w:rsid w:val="00A95BB7"/>
    <w:rsid w:val="00AB30C4"/>
    <w:rsid w:val="00AD28E2"/>
    <w:rsid w:val="00AD4BF4"/>
    <w:rsid w:val="00AE05CF"/>
    <w:rsid w:val="00B2505A"/>
    <w:rsid w:val="00B52269"/>
    <w:rsid w:val="00B53593"/>
    <w:rsid w:val="00B944E7"/>
    <w:rsid w:val="00BA02FD"/>
    <w:rsid w:val="00BA39A5"/>
    <w:rsid w:val="00BA5B84"/>
    <w:rsid w:val="00BC29FA"/>
    <w:rsid w:val="00BC7755"/>
    <w:rsid w:val="00C04CDF"/>
    <w:rsid w:val="00C40B1B"/>
    <w:rsid w:val="00C61BF0"/>
    <w:rsid w:val="00C64BD8"/>
    <w:rsid w:val="00C7253B"/>
    <w:rsid w:val="00C8343C"/>
    <w:rsid w:val="00CA2557"/>
    <w:rsid w:val="00CC4CEC"/>
    <w:rsid w:val="00CD0DF4"/>
    <w:rsid w:val="00CD2F9C"/>
    <w:rsid w:val="00CD3CF0"/>
    <w:rsid w:val="00CD6B89"/>
    <w:rsid w:val="00CF0F8E"/>
    <w:rsid w:val="00D000B5"/>
    <w:rsid w:val="00D15481"/>
    <w:rsid w:val="00D30315"/>
    <w:rsid w:val="00D537BB"/>
    <w:rsid w:val="00D633C1"/>
    <w:rsid w:val="00D946B6"/>
    <w:rsid w:val="00D96CFD"/>
    <w:rsid w:val="00DA1E97"/>
    <w:rsid w:val="00DB1D0C"/>
    <w:rsid w:val="00E168BA"/>
    <w:rsid w:val="00E32B2B"/>
    <w:rsid w:val="00E66E21"/>
    <w:rsid w:val="00E708EA"/>
    <w:rsid w:val="00E92B64"/>
    <w:rsid w:val="00E9418A"/>
    <w:rsid w:val="00EF2295"/>
    <w:rsid w:val="00F0257A"/>
    <w:rsid w:val="00F2359D"/>
    <w:rsid w:val="00F262E2"/>
    <w:rsid w:val="00F37822"/>
    <w:rsid w:val="00F661EA"/>
    <w:rsid w:val="00F80377"/>
    <w:rsid w:val="00F82E12"/>
    <w:rsid w:val="00F9639A"/>
    <w:rsid w:val="00FA211D"/>
    <w:rsid w:val="00FB1026"/>
    <w:rsid w:val="00FF0E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CE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1239</Characters>
  <Application>Microsoft Office Word</Application>
  <DocSecurity>0</DocSecurity>
  <Lines>10</Lines>
  <Paragraphs>2</Paragraphs>
  <ScaleCrop>false</ScaleCrop>
  <Company/>
  <LinksUpToDate>false</LinksUpToDate>
  <CharactersWithSpaces>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2017-11-12T01:42:00Z</dcterms:created>
  <dcterms:modified xsi:type="dcterms:W3CDTF">2017-11-12T01:43:00Z</dcterms:modified>
</cp:coreProperties>
</file>